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0" w:rsidRDefault="00E35DE0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</w:p>
    <w:p w:rsidR="0080708F" w:rsidRPr="00A55144" w:rsidRDefault="0080708F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陕西未来能源化工有限公司</w:t>
      </w:r>
    </w:p>
    <w:p w:rsidR="0080708F" w:rsidRPr="00A55144" w:rsidRDefault="005D5294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煤制油分公司锅炉烟气</w:t>
      </w:r>
      <w:r w:rsidR="0089672D" w:rsidRPr="00A55144">
        <w:rPr>
          <w:rFonts w:hint="eastAsia"/>
          <w:b/>
          <w:bCs/>
          <w:sz w:val="32"/>
          <w:szCs w:val="32"/>
        </w:rPr>
        <w:t>脱硫脱硝</w:t>
      </w:r>
      <w:r w:rsidR="0080708F" w:rsidRPr="00A55144">
        <w:rPr>
          <w:rFonts w:hint="eastAsia"/>
          <w:b/>
          <w:bCs/>
          <w:sz w:val="32"/>
          <w:szCs w:val="32"/>
        </w:rPr>
        <w:t>装置</w:t>
      </w:r>
    </w:p>
    <w:p w:rsidR="00B5798A" w:rsidRPr="00A55144" w:rsidRDefault="00B5798A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</w:p>
    <w:p w:rsidR="0080708F" w:rsidRPr="00A55144" w:rsidRDefault="00515527" w:rsidP="0080708F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无水液氨</w:t>
      </w:r>
    </w:p>
    <w:p w:rsidR="0080708F" w:rsidRPr="00A55144" w:rsidRDefault="0080708F" w:rsidP="0080708F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</w:p>
    <w:p w:rsidR="0080708F" w:rsidRPr="00A55144" w:rsidRDefault="0080708F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2"/>
          <w:szCs w:val="32"/>
        </w:rPr>
      </w:pPr>
      <w:r w:rsidRPr="00A55144">
        <w:rPr>
          <w:rFonts w:ascii="宋体" w:cs="宋体" w:hint="eastAsia"/>
          <w:b/>
          <w:sz w:val="32"/>
          <w:szCs w:val="32"/>
        </w:rPr>
        <w:t>技术规格书</w:t>
      </w:r>
    </w:p>
    <w:p w:rsidR="00B5798A" w:rsidRDefault="00B5798A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BC4094" w:rsidRPr="00614C18" w:rsidRDefault="00BC4094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B5798A" w:rsidRPr="00A55144" w:rsidRDefault="00B5798A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>编    制：</w:t>
      </w:r>
      <w:r w:rsidR="00A55144"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</w:p>
    <w:p w:rsidR="00A55144" w:rsidRPr="00A55144" w:rsidRDefault="00A55144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校    核：                      </w:t>
      </w:r>
    </w:p>
    <w:p w:rsidR="00AF449D" w:rsidRDefault="00B5798A" w:rsidP="002E5535">
      <w:pPr>
        <w:tabs>
          <w:tab w:val="left" w:pos="7250"/>
        </w:tabs>
        <w:adjustRightInd w:val="0"/>
        <w:snapToGrid w:val="0"/>
        <w:spacing w:line="800" w:lineRule="exact"/>
        <w:ind w:firstLineChars="646" w:firstLine="1809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审    核：  </w:t>
      </w:r>
    </w:p>
    <w:p w:rsidR="00B5798A" w:rsidRPr="00A55144" w:rsidRDefault="00AF449D" w:rsidP="002E5535">
      <w:pPr>
        <w:tabs>
          <w:tab w:val="left" w:pos="7250"/>
        </w:tabs>
        <w:adjustRightInd w:val="0"/>
        <w:snapToGrid w:val="0"/>
        <w:spacing w:line="800" w:lineRule="exact"/>
        <w:ind w:firstLineChars="646" w:firstLine="1809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审    定：</w:t>
      </w:r>
      <w:r w:rsidR="00B5798A"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      </w:t>
      </w:r>
    </w:p>
    <w:p w:rsidR="00B5798A" w:rsidRPr="00A55144" w:rsidRDefault="00B5798A" w:rsidP="002E5535">
      <w:pPr>
        <w:adjustRightInd w:val="0"/>
        <w:snapToGrid w:val="0"/>
        <w:spacing w:line="800" w:lineRule="exact"/>
        <w:ind w:firstLineChars="646" w:firstLine="1809"/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批    准：                       </w:t>
      </w:r>
    </w:p>
    <w:p w:rsidR="00B5798A" w:rsidRDefault="002E5535" w:rsidP="00AF449D">
      <w:pPr>
        <w:tabs>
          <w:tab w:val="left" w:pos="180"/>
        </w:tabs>
        <w:autoSpaceDE w:val="0"/>
        <w:autoSpaceDN w:val="0"/>
        <w:spacing w:line="800" w:lineRule="exact"/>
        <w:ind w:firstLineChars="996" w:firstLine="278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2E5535">
        <w:rPr>
          <w:rFonts w:asciiTheme="minorEastAsia" w:eastAsiaTheme="minorEastAsia" w:hAnsiTheme="minorEastAsia" w:hint="eastAsia"/>
          <w:bCs/>
          <w:sz w:val="28"/>
          <w:szCs w:val="28"/>
        </w:rPr>
        <w:t>二零一</w:t>
      </w:r>
      <w:r w:rsidR="00AF449D">
        <w:rPr>
          <w:rFonts w:asciiTheme="minorEastAsia" w:eastAsiaTheme="minorEastAsia" w:hAnsiTheme="minorEastAsia" w:hint="eastAsia"/>
          <w:bCs/>
          <w:sz w:val="28"/>
          <w:szCs w:val="28"/>
        </w:rPr>
        <w:t>八</w:t>
      </w:r>
      <w:r w:rsidRPr="002E5535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AF449D">
        <w:rPr>
          <w:rFonts w:asciiTheme="minorEastAsia" w:eastAsiaTheme="minorEastAsia" w:hAnsiTheme="minorEastAsia" w:hint="eastAsia"/>
          <w:bCs/>
          <w:sz w:val="28"/>
          <w:szCs w:val="28"/>
        </w:rPr>
        <w:t>十</w:t>
      </w:r>
      <w:r w:rsidRPr="002E5535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</w:p>
    <w:p w:rsidR="00E35DE0" w:rsidRPr="002E5535" w:rsidRDefault="00E35DE0" w:rsidP="00AF449D">
      <w:pPr>
        <w:tabs>
          <w:tab w:val="left" w:pos="180"/>
        </w:tabs>
        <w:autoSpaceDE w:val="0"/>
        <w:autoSpaceDN w:val="0"/>
        <w:spacing w:line="800" w:lineRule="exact"/>
        <w:ind w:firstLineChars="996" w:firstLine="278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7476ED" w:rsidRDefault="007476ED" w:rsidP="00B5798A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目  录</w:t>
      </w:r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F185F">
        <w:rPr>
          <w:rFonts w:ascii="黑体" w:eastAsia="黑体" w:hAnsi="黑体"/>
          <w:b/>
          <w:sz w:val="28"/>
          <w:szCs w:val="28"/>
        </w:rPr>
        <w:fldChar w:fldCharType="begin"/>
      </w:r>
      <w:r w:rsidR="007476ED" w:rsidRPr="007F185F">
        <w:rPr>
          <w:rFonts w:ascii="黑体" w:eastAsia="黑体" w:hAnsi="黑体"/>
          <w:b/>
          <w:sz w:val="28"/>
          <w:szCs w:val="28"/>
        </w:rPr>
        <w:instrText xml:space="preserve"> TOC \o "1-3" \h \z \u </w:instrText>
      </w:r>
      <w:r w:rsidRPr="007F185F">
        <w:rPr>
          <w:rFonts w:ascii="黑体" w:eastAsia="黑体" w:hAnsi="黑体"/>
          <w:b/>
          <w:sz w:val="28"/>
          <w:szCs w:val="28"/>
        </w:rPr>
        <w:fldChar w:fldCharType="separate"/>
      </w:r>
      <w:hyperlink w:anchor="_Toc492383058" w:history="1">
        <w:r w:rsidR="00E37C0A" w:rsidRPr="00E37C0A">
          <w:rPr>
            <w:rStyle w:val="a8"/>
            <w:noProof/>
            <w:sz w:val="28"/>
            <w:szCs w:val="28"/>
          </w:rPr>
          <w:t xml:space="preserve">1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总则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_Toc492383058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1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59" w:history="1">
        <w:r w:rsidR="00E37C0A" w:rsidRPr="00E37C0A">
          <w:rPr>
            <w:rStyle w:val="a8"/>
            <w:rFonts w:ascii="宋体" w:hAnsi="宋体"/>
            <w:noProof/>
            <w:sz w:val="28"/>
            <w:szCs w:val="28"/>
            <w:lang w:val="en-GB"/>
          </w:rPr>
          <w:t xml:space="preserve">2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适用的标准及文件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_Toc492383059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2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0" w:history="1">
        <w:r w:rsidR="00E37C0A" w:rsidRPr="00E37C0A">
          <w:rPr>
            <w:rStyle w:val="a8"/>
            <w:noProof/>
            <w:sz w:val="28"/>
            <w:szCs w:val="28"/>
          </w:rPr>
          <w:t xml:space="preserve">3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投标方供货范围及工作范围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_Toc492383060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2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1" w:history="1">
        <w:r w:rsidR="00E37C0A" w:rsidRPr="00E37C0A">
          <w:rPr>
            <w:rStyle w:val="a8"/>
            <w:noProof/>
            <w:sz w:val="28"/>
            <w:szCs w:val="28"/>
          </w:rPr>
          <w:t xml:space="preserve">4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技术要求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_Toc492383061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3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2" w:history="1">
        <w:r w:rsidR="00E37C0A" w:rsidRPr="00E37C0A">
          <w:rPr>
            <w:rStyle w:val="a8"/>
            <w:noProof/>
            <w:sz w:val="28"/>
            <w:szCs w:val="28"/>
          </w:rPr>
          <w:t>5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检测检验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_Toc492383062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3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3" w:history="1">
        <w:r w:rsidR="00E37C0A" w:rsidRPr="00E37C0A">
          <w:rPr>
            <w:rStyle w:val="a8"/>
            <w:noProof/>
            <w:sz w:val="28"/>
            <w:szCs w:val="28"/>
          </w:rPr>
          <w:t>6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包装、标志、贮存和运输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_Toc492383063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4" w:history="1">
        <w:r w:rsidR="00E37C0A" w:rsidRPr="00E37C0A">
          <w:rPr>
            <w:rStyle w:val="a8"/>
            <w:noProof/>
            <w:sz w:val="28"/>
            <w:szCs w:val="28"/>
          </w:rPr>
          <w:t xml:space="preserve">7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产品质量保证及考核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_Toc492383064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492383065" w:history="1">
        <w:r w:rsidR="00E37C0A" w:rsidRPr="00E37C0A">
          <w:rPr>
            <w:rStyle w:val="a8"/>
            <w:noProof/>
            <w:sz w:val="28"/>
            <w:szCs w:val="28"/>
          </w:rPr>
          <w:t>8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产品交付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_Toc492383065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E8683B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476DFE" w:rsidRPr="007F185F" w:rsidRDefault="002A3CB7" w:rsidP="00E37C0A">
      <w:pPr>
        <w:pStyle w:val="10"/>
        <w:tabs>
          <w:tab w:val="right" w:leader="dot" w:pos="8296"/>
        </w:tabs>
        <w:spacing w:line="480" w:lineRule="auto"/>
        <w:rPr>
          <w:rFonts w:asciiTheme="minorEastAsia" w:eastAsiaTheme="minorEastAsia" w:hAnsiTheme="minorEastAsia" w:cstheme="minorBidi"/>
          <w:noProof/>
          <w:sz w:val="28"/>
          <w:szCs w:val="28"/>
        </w:rPr>
      </w:pPr>
      <w:r w:rsidRPr="007F185F">
        <w:rPr>
          <w:rFonts w:ascii="黑体" w:eastAsia="黑体" w:hAnsi="黑体"/>
          <w:b/>
          <w:sz w:val="28"/>
          <w:szCs w:val="28"/>
        </w:rPr>
        <w:fldChar w:fldCharType="end"/>
      </w:r>
    </w:p>
    <w:p w:rsidR="007476ED" w:rsidRDefault="007476ED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</w:p>
    <w:p w:rsidR="00E37C0A" w:rsidRDefault="00E37C0A" w:rsidP="005A0C6E">
      <w:pPr>
        <w:pStyle w:val="1"/>
        <w:sectPr w:rsidR="00E37C0A" w:rsidSect="00331D9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92383058"/>
    </w:p>
    <w:p w:rsidR="0029522D" w:rsidRDefault="000B5394" w:rsidP="005A0C6E">
      <w:pPr>
        <w:pStyle w:val="1"/>
      </w:pPr>
      <w:r w:rsidRPr="000B5394">
        <w:rPr>
          <w:rFonts w:hint="eastAsia"/>
        </w:rPr>
        <w:lastRenderedPageBreak/>
        <w:t xml:space="preserve">1 </w:t>
      </w:r>
      <w:r w:rsidRPr="000B5394">
        <w:rPr>
          <w:rFonts w:hint="eastAsia"/>
        </w:rPr>
        <w:t>总则</w:t>
      </w:r>
      <w:bookmarkEnd w:id="0"/>
    </w:p>
    <w:p w:rsidR="00392D93" w:rsidRPr="000E2567" w:rsidRDefault="00392D93" w:rsidP="000E256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B662E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.1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本技术规格书适用于</w:t>
      </w:r>
      <w:r w:rsidR="00C10DD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陕西未来能源化工有限公司</w:t>
      </w:r>
      <w:r w:rsidR="000E256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煤制油分公司锅炉烟气脱硫脱硝装置</w:t>
      </w:r>
      <w:r w:rsidR="00275275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所需</w:t>
      </w:r>
      <w:r w:rsidR="0051552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无水液氨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的采购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规范</w:t>
      </w:r>
      <w:r w:rsidR="007F2EA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危险</w:t>
      </w:r>
      <w:r w:rsidR="009004AE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化学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品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生产、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检验、验收、包装、运输、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装卸、注意事项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等方面的技术要求及供货范围、售后服务方面的最低要求，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产品的生产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应是全新、优质的产品，满足额定工况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及实际条件下进行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392D93" w:rsidRPr="00FC2804" w:rsidRDefault="00D358C9" w:rsidP="00B662E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662E8">
        <w:rPr>
          <w:rFonts w:asciiTheme="minorEastAsia" w:eastAsiaTheme="minorEastAsia" w:hAnsiTheme="minorEastAsia" w:cs="宋体"/>
          <w:kern w:val="0"/>
          <w:sz w:val="24"/>
          <w:szCs w:val="24"/>
        </w:rPr>
        <w:t>1.2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本技术规格书所提出的是有限的技术要求，并未对所有技术细节做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出明确规定，也未充分引述有关标准、规范中的条文。</w:t>
      </w:r>
      <w:r w:rsidR="005F6C6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投标方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应保证提供符合本规</w:t>
      </w:r>
      <w:r w:rsidR="00E336A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格书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和工业标准的优质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产品，所执行的标准应是最新和最高的，本技术规格书所引用的标准如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</w:t>
      </w:r>
      <w:r w:rsidR="005F6C6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投标方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所执行的标准发生矛盾时，按较高标准执行。</w:t>
      </w:r>
    </w:p>
    <w:p w:rsidR="00967995" w:rsidRPr="00392D93" w:rsidRDefault="003A2D83" w:rsidP="00B662E8">
      <w:pPr>
        <w:spacing w:line="360" w:lineRule="auto"/>
        <w:rPr>
          <w:sz w:val="28"/>
          <w:szCs w:val="28"/>
        </w:rPr>
      </w:pPr>
      <w:r w:rsidRPr="00643CE2">
        <w:rPr>
          <w:rFonts w:ascii="宋体" w:hAnsi="宋体" w:hint="eastAsia"/>
          <w:sz w:val="24"/>
        </w:rPr>
        <w:t>1.3</w:t>
      </w:r>
      <w:r w:rsidR="000A2957">
        <w:rPr>
          <w:rFonts w:ascii="宋体" w:hAnsi="宋体" w:hint="eastAsia"/>
          <w:sz w:val="24"/>
        </w:rPr>
        <w:t>投标方在投标时</w:t>
      </w:r>
      <w:r w:rsidR="00687057">
        <w:rPr>
          <w:rFonts w:ascii="宋体" w:hAnsi="宋体" w:hint="eastAsia"/>
          <w:sz w:val="24"/>
        </w:rPr>
        <w:t>，需按照本技术规格书提供</w:t>
      </w:r>
      <w:r w:rsidR="001740C6">
        <w:rPr>
          <w:rFonts w:ascii="宋体" w:hAnsi="宋体" w:hint="eastAsia"/>
          <w:sz w:val="24"/>
        </w:rPr>
        <w:t>完整详细的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9004AE" w:rsidRPr="00770443">
        <w:rPr>
          <w:rFonts w:ascii="宋体" w:hAnsi="宋体" w:hint="eastAsia"/>
          <w:color w:val="000000" w:themeColor="text1"/>
          <w:sz w:val="24"/>
        </w:rPr>
        <w:t>生产方案、工艺及理化特性</w:t>
      </w:r>
      <w:r w:rsidR="00EE406B" w:rsidRPr="00770443">
        <w:rPr>
          <w:rFonts w:ascii="宋体" w:hAnsi="宋体" w:hint="eastAsia"/>
          <w:color w:val="000000" w:themeColor="text1"/>
          <w:sz w:val="24"/>
        </w:rPr>
        <w:t>参数、使用要求等</w:t>
      </w:r>
      <w:r w:rsidR="000A2957" w:rsidRPr="00770443">
        <w:rPr>
          <w:rFonts w:ascii="宋体" w:hAnsi="宋体" w:hint="eastAsia"/>
          <w:color w:val="000000" w:themeColor="text1"/>
          <w:sz w:val="24"/>
        </w:rPr>
        <w:t>。本技术规格书要求</w:t>
      </w:r>
      <w:r w:rsidR="000A2957" w:rsidRPr="00643CE2">
        <w:rPr>
          <w:rFonts w:ascii="宋体" w:hAnsi="宋体" w:hint="eastAsia"/>
          <w:sz w:val="24"/>
        </w:rPr>
        <w:t>的标准如与投标方所执行的标准发生矛盾时，按较高标准执行。</w:t>
      </w:r>
    </w:p>
    <w:p w:rsidR="003A2D83" w:rsidRPr="00643CE2" w:rsidRDefault="003A2D83" w:rsidP="00B662E8">
      <w:pPr>
        <w:spacing w:line="360" w:lineRule="auto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956BD2">
        <w:rPr>
          <w:rFonts w:ascii="宋体" w:hAnsi="宋体" w:hint="eastAsia"/>
          <w:sz w:val="24"/>
        </w:rPr>
        <w:t>4</w:t>
      </w:r>
      <w:r w:rsidRPr="00643CE2">
        <w:rPr>
          <w:rFonts w:ascii="宋体" w:hAnsi="宋体" w:hint="eastAsia"/>
          <w:sz w:val="24"/>
        </w:rPr>
        <w:t>如果本招标文件前后出现有不一致的描述，投标方应在投标前提出澄清，未提出澄清的则以招标方的解释为准。</w:t>
      </w:r>
    </w:p>
    <w:p w:rsidR="003A2D83" w:rsidRPr="00643CE2" w:rsidRDefault="003A2D83" w:rsidP="00714B20">
      <w:pPr>
        <w:spacing w:line="360" w:lineRule="auto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956BD2">
        <w:rPr>
          <w:rFonts w:ascii="宋体" w:hAnsi="宋体" w:hint="eastAsia"/>
          <w:sz w:val="24"/>
        </w:rPr>
        <w:t>5</w:t>
      </w:r>
      <w:r w:rsidR="009004AE">
        <w:rPr>
          <w:rFonts w:ascii="宋体" w:hAnsi="宋体" w:hint="eastAsia"/>
          <w:color w:val="000000"/>
          <w:sz w:val="24"/>
        </w:rPr>
        <w:t>投标方应保证提供的产品是全新的</w:t>
      </w:r>
      <w:r w:rsidR="00EE406B">
        <w:rPr>
          <w:rFonts w:ascii="宋体" w:hAnsi="宋体" w:hint="eastAsia"/>
          <w:color w:val="000000"/>
          <w:sz w:val="24"/>
        </w:rPr>
        <w:t>、可靠的、合</w:t>
      </w:r>
      <w:r w:rsidR="009004AE">
        <w:rPr>
          <w:rFonts w:ascii="宋体" w:hAnsi="宋体" w:hint="eastAsia"/>
          <w:color w:val="000000"/>
          <w:sz w:val="24"/>
        </w:rPr>
        <w:t>格</w:t>
      </w:r>
      <w:r w:rsidR="00EE406B">
        <w:rPr>
          <w:rFonts w:ascii="宋体" w:hAnsi="宋体" w:hint="eastAsia"/>
          <w:color w:val="000000"/>
          <w:sz w:val="24"/>
        </w:rPr>
        <w:t>的，所提供产品</w:t>
      </w:r>
      <w:r w:rsidRPr="00643CE2">
        <w:rPr>
          <w:rFonts w:ascii="宋体" w:hAnsi="宋体" w:hint="eastAsia"/>
          <w:color w:val="000000"/>
          <w:sz w:val="24"/>
        </w:rPr>
        <w:t>必须具有同类项目运行业绩并被证明是成熟产品。</w:t>
      </w:r>
      <w:r w:rsidR="00EE406B">
        <w:rPr>
          <w:rFonts w:ascii="宋体" w:hAnsi="宋体" w:hint="eastAsia"/>
          <w:sz w:val="24"/>
        </w:rPr>
        <w:t>采用的专利涉及到的全部费用均被认为已包含在产品报价中，投标方应保证招标方不承担有关产品</w:t>
      </w:r>
      <w:r w:rsidRPr="00643CE2">
        <w:rPr>
          <w:rFonts w:ascii="宋体" w:hAnsi="宋体" w:hint="eastAsia"/>
          <w:sz w:val="24"/>
        </w:rPr>
        <w:t>专利的一切责任。</w:t>
      </w:r>
    </w:p>
    <w:p w:rsidR="003A2D83" w:rsidRPr="00643CE2" w:rsidRDefault="003A2D83" w:rsidP="003A2D83">
      <w:pPr>
        <w:pStyle w:val="a6"/>
        <w:spacing w:line="520" w:lineRule="exact"/>
        <w:ind w:firstLineChars="0" w:firstLine="0"/>
        <w:rPr>
          <w:rFonts w:ascii="宋体" w:hAnsi="宋体"/>
          <w:sz w:val="24"/>
          <w:szCs w:val="24"/>
        </w:rPr>
      </w:pPr>
      <w:r w:rsidRPr="00643CE2">
        <w:rPr>
          <w:rFonts w:ascii="宋体" w:hAnsi="宋体" w:hint="eastAsia"/>
          <w:sz w:val="24"/>
          <w:szCs w:val="24"/>
        </w:rPr>
        <w:t>1.</w:t>
      </w:r>
      <w:r w:rsidR="00714B20">
        <w:rPr>
          <w:rFonts w:ascii="宋体" w:hAnsi="宋体" w:hint="eastAsia"/>
          <w:sz w:val="24"/>
          <w:szCs w:val="24"/>
        </w:rPr>
        <w:t>6</w:t>
      </w:r>
      <w:r w:rsidRPr="00643CE2">
        <w:rPr>
          <w:rFonts w:ascii="宋体" w:hAnsi="宋体" w:hint="eastAsia"/>
          <w:sz w:val="24"/>
          <w:szCs w:val="24"/>
        </w:rPr>
        <w:t>投标方对本规定的严格遵守并不意味着可以解除其对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EE406B">
        <w:rPr>
          <w:rFonts w:ascii="宋体" w:hAnsi="宋体" w:hint="eastAsia"/>
          <w:sz w:val="24"/>
          <w:szCs w:val="24"/>
        </w:rPr>
        <w:t>的正确生产等满足规定的工艺技术要求的责任</w:t>
      </w:r>
      <w:r w:rsidR="001740C6">
        <w:rPr>
          <w:rFonts w:ascii="宋体" w:hAnsi="宋体" w:hint="eastAsia"/>
          <w:sz w:val="24"/>
          <w:szCs w:val="24"/>
        </w:rPr>
        <w:t>，</w:t>
      </w:r>
      <w:r w:rsidR="00EE406B">
        <w:rPr>
          <w:rFonts w:ascii="宋体" w:hAnsi="宋体" w:hint="eastAsia"/>
          <w:sz w:val="24"/>
          <w:szCs w:val="24"/>
        </w:rPr>
        <w:t>投标方根据其经验进行合理的生产并按时提供</w:t>
      </w:r>
      <w:r w:rsidRPr="00643CE2">
        <w:rPr>
          <w:rFonts w:ascii="宋体" w:hAnsi="宋体" w:hint="eastAsia"/>
          <w:sz w:val="24"/>
          <w:szCs w:val="24"/>
        </w:rPr>
        <w:t>符合规定要求的</w:t>
      </w:r>
      <w:r w:rsidR="009004AE">
        <w:rPr>
          <w:rFonts w:ascii="宋体" w:hAnsi="宋体" w:hint="eastAsia"/>
          <w:sz w:val="24"/>
          <w:szCs w:val="24"/>
        </w:rPr>
        <w:t>产品</w:t>
      </w:r>
      <w:r w:rsidRPr="00643CE2">
        <w:rPr>
          <w:rFonts w:ascii="宋体" w:hAnsi="宋体" w:hint="eastAsia"/>
          <w:sz w:val="24"/>
          <w:szCs w:val="24"/>
        </w:rPr>
        <w:t>。</w:t>
      </w:r>
    </w:p>
    <w:p w:rsidR="003A2D83" w:rsidRPr="00643CE2" w:rsidRDefault="003A2D83" w:rsidP="00E35DE0">
      <w:pPr>
        <w:spacing w:line="520" w:lineRule="exact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7</w:t>
      </w:r>
      <w:r w:rsidRPr="00643CE2">
        <w:rPr>
          <w:rFonts w:ascii="宋体" w:hAnsi="宋体" w:hint="eastAsia"/>
          <w:sz w:val="24"/>
        </w:rPr>
        <w:t>投标方提交文件的计量单位应采用国际单位制，文件使用的语言为简体中文。</w:t>
      </w:r>
    </w:p>
    <w:p w:rsidR="003A2D83" w:rsidRDefault="003A2D83" w:rsidP="00E35DE0">
      <w:pPr>
        <w:spacing w:line="520" w:lineRule="exact"/>
        <w:rPr>
          <w:rFonts w:ascii="宋体" w:hAnsi="宋体"/>
          <w:sz w:val="24"/>
        </w:rPr>
      </w:pPr>
      <w:r w:rsidRPr="00C24774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投标方要求</w:t>
      </w:r>
    </w:p>
    <w:p w:rsidR="003A2D83" w:rsidRDefault="003A2D83" w:rsidP="002654F7">
      <w:pPr>
        <w:spacing w:line="520" w:lineRule="exact"/>
        <w:ind w:firstLineChars="100" w:firstLine="240"/>
        <w:rPr>
          <w:rFonts w:ascii="宋体" w:hAnsi="宋体"/>
          <w:sz w:val="24"/>
        </w:rPr>
      </w:pPr>
      <w:r w:rsidRPr="00C94512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8</w:t>
      </w:r>
      <w:r w:rsidRPr="00C94512">
        <w:rPr>
          <w:rFonts w:ascii="宋体" w:hAnsi="宋体" w:hint="eastAsia"/>
          <w:sz w:val="24"/>
        </w:rPr>
        <w:t>.1</w:t>
      </w:r>
      <w:r w:rsidR="00E35DE0" w:rsidRPr="00E35DE0">
        <w:rPr>
          <w:rFonts w:ascii="宋体" w:hAnsi="宋体"/>
          <w:sz w:val="24"/>
        </w:rPr>
        <w:t>投标</w:t>
      </w:r>
      <w:r w:rsidR="00E35DE0" w:rsidRPr="00E35DE0">
        <w:rPr>
          <w:rFonts w:ascii="宋体" w:hAnsi="宋体" w:hint="eastAsia"/>
          <w:sz w:val="24"/>
        </w:rPr>
        <w:t>人</w:t>
      </w:r>
      <w:r w:rsidR="00E35DE0" w:rsidRPr="00E35DE0">
        <w:rPr>
          <w:rFonts w:ascii="宋体" w:hAnsi="宋体"/>
          <w:sz w:val="24"/>
        </w:rPr>
        <w:t>必须为中华人民共和国境内注册的、具有独立法人资格的一般纳税人</w:t>
      </w:r>
      <w:r w:rsidR="00E35DE0" w:rsidRPr="00E35DE0">
        <w:rPr>
          <w:rFonts w:ascii="宋体" w:hAnsi="宋体" w:hint="eastAsia"/>
          <w:sz w:val="24"/>
        </w:rPr>
        <w:t>生产</w:t>
      </w:r>
      <w:r w:rsidR="00E35DE0" w:rsidRPr="00E35DE0">
        <w:rPr>
          <w:rFonts w:ascii="宋体" w:hAnsi="宋体"/>
          <w:sz w:val="24"/>
        </w:rPr>
        <w:t>企业，</w:t>
      </w:r>
      <w:r w:rsidR="00E35DE0" w:rsidRPr="00E35DE0">
        <w:rPr>
          <w:rFonts w:ascii="宋体" w:hAnsi="宋体" w:hint="eastAsia"/>
          <w:sz w:val="24"/>
        </w:rPr>
        <w:t>注册资本金不低于1000万元。投标人需提供安全生产许可证。</w:t>
      </w:r>
    </w:p>
    <w:p w:rsidR="003A2D83" w:rsidRPr="00E35DE0" w:rsidRDefault="003A2D83" w:rsidP="00E35DE0">
      <w:pPr>
        <w:pStyle w:val="a7"/>
        <w:spacing w:after="0" w:line="520" w:lineRule="exact"/>
        <w:rPr>
          <w:rFonts w:ascii="宋体" w:hAnsi="宋体"/>
          <w:sz w:val="24"/>
          <w:szCs w:val="22"/>
        </w:rPr>
      </w:pPr>
      <w:r w:rsidRPr="00E35DE0">
        <w:rPr>
          <w:rFonts w:ascii="宋体" w:hAnsi="宋体" w:hint="eastAsia"/>
          <w:sz w:val="24"/>
          <w:szCs w:val="22"/>
        </w:rPr>
        <w:t>1.</w:t>
      </w:r>
      <w:r w:rsidR="00714B20" w:rsidRPr="00E35DE0">
        <w:rPr>
          <w:rFonts w:ascii="宋体" w:hAnsi="宋体" w:hint="eastAsia"/>
          <w:sz w:val="24"/>
          <w:szCs w:val="22"/>
        </w:rPr>
        <w:t>9</w:t>
      </w:r>
      <w:r w:rsidRPr="00E35DE0">
        <w:rPr>
          <w:rFonts w:ascii="宋体" w:hAnsi="宋体" w:hint="eastAsia"/>
          <w:sz w:val="24"/>
          <w:szCs w:val="22"/>
        </w:rPr>
        <w:t>投标文件要求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 w:rsidR="00714B20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.1投标方的投标文件应严格遵守本技术规格书的要求。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 w:rsidR="00714B20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.2投标方的技术投标文件应至少包括以下</w:t>
      </w:r>
      <w:r w:rsidR="00F435AB">
        <w:rPr>
          <w:rFonts w:ascii="宋体" w:hAnsi="宋体" w:hint="eastAsia"/>
          <w:color w:val="000000"/>
          <w:sz w:val="24"/>
          <w:szCs w:val="24"/>
        </w:rPr>
        <w:t>内容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a</w:t>
      </w:r>
      <w:r w:rsidR="00531FEF">
        <w:rPr>
          <w:rFonts w:ascii="宋体" w:hAnsi="宋体" w:hint="eastAsia"/>
          <w:color w:val="000000"/>
          <w:sz w:val="24"/>
          <w:szCs w:val="24"/>
        </w:rPr>
        <w:t>）生产工艺、技术特点、</w:t>
      </w:r>
      <w:r>
        <w:rPr>
          <w:rFonts w:ascii="宋体" w:hAnsi="宋体" w:hint="eastAsia"/>
          <w:color w:val="000000"/>
          <w:sz w:val="24"/>
          <w:szCs w:val="24"/>
        </w:rPr>
        <w:t>质量保证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b）对本技术文件的逐条响应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c）</w:t>
      </w:r>
      <w:r w:rsidR="00531FEF">
        <w:rPr>
          <w:rFonts w:ascii="宋体" w:hAnsi="宋体" w:hint="eastAsia"/>
          <w:color w:val="000000"/>
          <w:sz w:val="24"/>
          <w:szCs w:val="24"/>
        </w:rPr>
        <w:t>技术偏差表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d</w:t>
      </w:r>
      <w:r w:rsidR="00531FEF">
        <w:rPr>
          <w:rFonts w:ascii="宋体" w:hAnsi="宋体" w:hint="eastAsia"/>
          <w:color w:val="000000"/>
          <w:sz w:val="24"/>
          <w:szCs w:val="24"/>
        </w:rPr>
        <w:t>）主要生产化学品、检测产品</w:t>
      </w:r>
      <w:r w:rsidR="003A2D83">
        <w:rPr>
          <w:rFonts w:ascii="宋体" w:hAnsi="宋体" w:hint="eastAsia"/>
          <w:color w:val="000000"/>
          <w:sz w:val="24"/>
          <w:szCs w:val="24"/>
        </w:rPr>
        <w:t>清单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e</w:t>
      </w:r>
      <w:r w:rsidR="003A2D83">
        <w:rPr>
          <w:rFonts w:ascii="宋体" w:hAnsi="宋体" w:hint="eastAsia"/>
          <w:color w:val="000000"/>
          <w:sz w:val="24"/>
          <w:szCs w:val="24"/>
        </w:rPr>
        <w:t>）企业资质和相关认证</w:t>
      </w:r>
      <w:r w:rsidR="000361E6">
        <w:rPr>
          <w:rFonts w:ascii="宋体" w:hAnsi="宋体" w:hint="eastAsia"/>
          <w:color w:val="000000"/>
          <w:sz w:val="24"/>
          <w:szCs w:val="24"/>
        </w:rPr>
        <w:t>，包括工业品生产许可证、安全生产许可证。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f</w:t>
      </w:r>
      <w:r w:rsidR="00531FEF">
        <w:rPr>
          <w:rFonts w:ascii="宋体" w:hAnsi="宋体" w:hint="eastAsia"/>
          <w:color w:val="000000"/>
          <w:sz w:val="24"/>
          <w:szCs w:val="24"/>
        </w:rPr>
        <w:t>）同类产品</w:t>
      </w:r>
      <w:r w:rsidR="003A2D83">
        <w:rPr>
          <w:rFonts w:ascii="宋体" w:hAnsi="宋体" w:hint="eastAsia"/>
          <w:color w:val="000000"/>
          <w:sz w:val="24"/>
          <w:szCs w:val="24"/>
        </w:rPr>
        <w:t>上的业绩表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g</w:t>
      </w:r>
      <w:r w:rsidR="00531FEF">
        <w:rPr>
          <w:rFonts w:ascii="宋体" w:hAnsi="宋体" w:hint="eastAsia"/>
          <w:color w:val="000000"/>
          <w:sz w:val="24"/>
          <w:szCs w:val="24"/>
        </w:rPr>
        <w:t>）</w:t>
      </w:r>
      <w:r w:rsidR="006A791E">
        <w:rPr>
          <w:rFonts w:ascii="宋体" w:hAnsi="宋体" w:hint="eastAsia"/>
          <w:color w:val="000000"/>
          <w:sz w:val="24"/>
          <w:szCs w:val="24"/>
        </w:rPr>
        <w:t>最新的型式检验报告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Pr="00C24774" w:rsidRDefault="00275275" w:rsidP="003A2D83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  <w:szCs w:val="24"/>
        </w:rPr>
        <w:t>h</w:t>
      </w:r>
      <w:r w:rsidR="003A2D83">
        <w:rPr>
          <w:rFonts w:ascii="宋体" w:hAnsi="宋体" w:hint="eastAsia"/>
          <w:color w:val="000000"/>
          <w:sz w:val="24"/>
          <w:szCs w:val="24"/>
        </w:rPr>
        <w:t>）供货范围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Pr="003A2D83" w:rsidRDefault="00E37C0A" w:rsidP="003A2D83">
      <w:pPr>
        <w:pStyle w:val="1"/>
        <w:rPr>
          <w:lang w:val="en-GB"/>
        </w:rPr>
      </w:pPr>
      <w:bookmarkStart w:id="1" w:name="_Toc492383059"/>
      <w:r>
        <w:rPr>
          <w:rFonts w:ascii="宋体" w:hAnsi="宋体" w:hint="eastAsia"/>
          <w:sz w:val="24"/>
          <w:lang w:val="en-GB"/>
        </w:rPr>
        <w:t>2</w:t>
      </w:r>
      <w:r w:rsidR="007476ED">
        <w:rPr>
          <w:rFonts w:ascii="宋体" w:hAnsi="宋体" w:hint="eastAsia"/>
          <w:sz w:val="24"/>
          <w:lang w:val="en-GB"/>
        </w:rPr>
        <w:t xml:space="preserve"> </w:t>
      </w:r>
      <w:r w:rsidR="003A2D83">
        <w:rPr>
          <w:rFonts w:hint="eastAsia"/>
        </w:rPr>
        <w:t>适用的标准及文件</w:t>
      </w:r>
      <w:bookmarkEnd w:id="1"/>
    </w:p>
    <w:p w:rsidR="003A2D83" w:rsidRDefault="003A2D83" w:rsidP="00A8153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3.1 </w:t>
      </w:r>
      <w:r w:rsidR="005F6C64">
        <w:rPr>
          <w:rFonts w:ascii="宋体" w:hAnsi="宋体" w:hint="eastAsia"/>
          <w:sz w:val="24"/>
        </w:rPr>
        <w:t>投标方</w:t>
      </w:r>
      <w:r w:rsidR="00531FEF">
        <w:rPr>
          <w:rFonts w:ascii="宋体" w:hAnsi="宋体" w:hint="eastAsia"/>
          <w:sz w:val="24"/>
        </w:rPr>
        <w:t>所供产品</w:t>
      </w:r>
      <w:r w:rsidR="00716E23">
        <w:rPr>
          <w:rFonts w:ascii="宋体" w:hAnsi="宋体" w:hint="eastAsia"/>
          <w:sz w:val="24"/>
        </w:rPr>
        <w:t>的</w:t>
      </w:r>
      <w:r w:rsidR="00531FEF">
        <w:rPr>
          <w:rFonts w:ascii="宋体" w:hAnsi="宋体" w:hint="eastAsia"/>
          <w:sz w:val="24"/>
        </w:rPr>
        <w:t>生产</w:t>
      </w:r>
      <w:r w:rsidR="00686BF3">
        <w:rPr>
          <w:rFonts w:ascii="宋体" w:hAnsi="宋体" w:hint="eastAsia"/>
          <w:sz w:val="24"/>
        </w:rPr>
        <w:t>、检验、运输</w:t>
      </w:r>
      <w:r w:rsidR="009004AE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，按下列标准最新版本的要求执行，包括但不限于以下内容</w:t>
      </w:r>
      <w:r>
        <w:rPr>
          <w:rFonts w:ascii="宋体" w:hAnsi="宋体"/>
          <w:sz w:val="24"/>
        </w:rPr>
        <w:t>：</w:t>
      </w:r>
    </w:p>
    <w:p w:rsidR="006D7F2E" w:rsidRPr="006D7F2E" w:rsidRDefault="00531FEF" w:rsidP="006D7F2E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GB190</w:t>
      </w:r>
      <w:r w:rsidR="006D7F2E">
        <w:rPr>
          <w:rFonts w:ascii="宋体" w:hAnsi="宋体" w:cs="宋体" w:hint="eastAsia"/>
          <w:kern w:val="0"/>
          <w:sz w:val="24"/>
        </w:rPr>
        <w:t xml:space="preserve">   </w:t>
      </w:r>
      <w:r w:rsidR="00487318">
        <w:rPr>
          <w:rFonts w:ascii="宋体" w:hAnsi="宋体" w:cs="宋体" w:hint="eastAsia"/>
          <w:kern w:val="0"/>
          <w:sz w:val="24"/>
        </w:rPr>
        <w:t xml:space="preserve"> </w:t>
      </w:r>
      <w:r w:rsidR="00275275">
        <w:rPr>
          <w:rFonts w:ascii="宋体" w:hAnsi="宋体" w:cs="宋体" w:hint="eastAsia"/>
          <w:kern w:val="0"/>
          <w:sz w:val="24"/>
        </w:rPr>
        <w:t xml:space="preserve">        </w:t>
      </w:r>
      <w:r w:rsidR="00487318">
        <w:rPr>
          <w:rFonts w:ascii="宋体" w:hAnsi="宋体" w:cs="宋体" w:hint="eastAsia"/>
          <w:kern w:val="0"/>
          <w:sz w:val="24"/>
        </w:rPr>
        <w:t xml:space="preserve"> </w:t>
      </w:r>
      <w:r w:rsidR="006D7F2E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危险货物包装标志</w:t>
      </w:r>
      <w:r w:rsidR="006D7F2E">
        <w:rPr>
          <w:rFonts w:ascii="宋体" w:hAnsi="宋体" w:cs="宋体" w:hint="eastAsia"/>
          <w:kern w:val="0"/>
          <w:sz w:val="24"/>
        </w:rPr>
        <w:t>》</w:t>
      </w:r>
    </w:p>
    <w:p w:rsidR="003A2D83" w:rsidRPr="005C0D81" w:rsidRDefault="004B442F" w:rsidP="00C9563D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GB</w:t>
      </w:r>
      <w:r>
        <w:rPr>
          <w:rFonts w:ascii="宋体" w:hAnsi="宋体" w:cs="宋体" w:hint="eastAsia"/>
          <w:kern w:val="0"/>
          <w:sz w:val="24"/>
        </w:rPr>
        <w:t>3723</w:t>
      </w:r>
      <w:r w:rsidR="003A2D83" w:rsidRPr="005C0D81">
        <w:rPr>
          <w:rFonts w:ascii="宋体" w:hAnsi="宋体" w:cs="宋体"/>
          <w:kern w:val="0"/>
          <w:sz w:val="24"/>
        </w:rPr>
        <w:t xml:space="preserve">    </w:t>
      </w:r>
      <w:r w:rsidR="00487318">
        <w:rPr>
          <w:rFonts w:ascii="宋体" w:hAnsi="宋体" w:cs="宋体" w:hint="eastAsia"/>
          <w:kern w:val="0"/>
          <w:sz w:val="24"/>
        </w:rPr>
        <w:t xml:space="preserve">  </w:t>
      </w:r>
      <w:r w:rsidR="00275275"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《工业用化学产品采样安全通则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3A2D83" w:rsidRPr="005C0D81" w:rsidRDefault="00515527" w:rsidP="003A2D83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E82125">
        <w:rPr>
          <w:rFonts w:ascii="宋体" w:hAnsi="宋体" w:cs="宋体" w:hint="eastAsia"/>
          <w:kern w:val="0"/>
          <w:sz w:val="24"/>
        </w:rPr>
        <w:t>GB</w:t>
      </w:r>
      <w:r w:rsidR="00AF449D">
        <w:rPr>
          <w:rFonts w:ascii="宋体" w:hAnsi="宋体" w:cs="宋体" w:hint="eastAsia"/>
          <w:kern w:val="0"/>
          <w:sz w:val="24"/>
        </w:rPr>
        <w:t>/T</w:t>
      </w:r>
      <w:r w:rsidRPr="00E82125">
        <w:rPr>
          <w:rFonts w:ascii="宋体" w:hAnsi="宋体" w:cs="宋体" w:hint="eastAsia"/>
          <w:kern w:val="0"/>
          <w:sz w:val="24"/>
        </w:rPr>
        <w:t>536-</w:t>
      </w:r>
      <w:r w:rsidR="00AF449D">
        <w:rPr>
          <w:rFonts w:ascii="宋体" w:hAnsi="宋体" w:cs="宋体" w:hint="eastAsia"/>
          <w:kern w:val="0"/>
          <w:sz w:val="24"/>
        </w:rPr>
        <w:t>2017</w:t>
      </w:r>
      <w:r w:rsidR="00E82125">
        <w:rPr>
          <w:rFonts w:ascii="宋体" w:hAnsi="宋体" w:cs="宋体" w:hint="eastAsia"/>
          <w:kern w:val="0"/>
          <w:sz w:val="24"/>
        </w:rPr>
        <w:t xml:space="preserve">        《液体无水氨》</w:t>
      </w:r>
    </w:p>
    <w:p w:rsidR="003A2D83" w:rsidRPr="005C0D81" w:rsidRDefault="004B442F" w:rsidP="003A2D83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GB</w:t>
      </w:r>
      <w:r>
        <w:rPr>
          <w:rFonts w:ascii="宋体" w:hAnsi="宋体" w:cs="宋体" w:hint="eastAsia"/>
          <w:kern w:val="0"/>
          <w:sz w:val="24"/>
        </w:rPr>
        <w:t>13690-1992</w:t>
      </w:r>
      <w:r w:rsidR="003A2D83" w:rsidRPr="005C0D81">
        <w:rPr>
          <w:rFonts w:ascii="宋体" w:hAnsi="宋体" w:cs="宋体"/>
          <w:kern w:val="0"/>
          <w:sz w:val="24"/>
        </w:rPr>
        <w:t xml:space="preserve">   </w:t>
      </w:r>
      <w:r w:rsidR="0027527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《常用危险化学品的分类及标志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3A2D83" w:rsidRDefault="004B442F" w:rsidP="00F435AB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AQ3013-2008</w:t>
      </w:r>
      <w:r w:rsidR="003A2D83" w:rsidRPr="005C0D81">
        <w:rPr>
          <w:rFonts w:ascii="宋体" w:hAnsi="宋体" w:cs="宋体"/>
          <w:kern w:val="0"/>
          <w:sz w:val="24"/>
        </w:rPr>
        <w:t xml:space="preserve">    </w:t>
      </w:r>
      <w:r w:rsidR="0027527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《危险化学品从业单位安全标准化通用规范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686BF3" w:rsidRDefault="00686BF3" w:rsidP="005709AD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中华人民共和国交通部制定    </w:t>
      </w:r>
      <w:r w:rsidRPr="005C0D81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危险货物运输规则</w:t>
      </w:r>
      <w:r w:rsidRPr="005C0D81">
        <w:rPr>
          <w:rFonts w:ascii="宋体" w:hAnsi="宋体" w:cs="宋体" w:hint="eastAsia"/>
          <w:kern w:val="0"/>
          <w:sz w:val="24"/>
        </w:rPr>
        <w:t>》</w:t>
      </w:r>
    </w:p>
    <w:p w:rsidR="00F435AB" w:rsidRDefault="00F435AB" w:rsidP="00F435AB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化学危险品安全管理条例    （</w:t>
      </w:r>
      <w:r w:rsidR="00E13FF5">
        <w:rPr>
          <w:rFonts w:ascii="宋体" w:hAnsi="宋体" w:cs="宋体" w:hint="eastAsia"/>
          <w:kern w:val="0"/>
          <w:sz w:val="24"/>
        </w:rPr>
        <w:t>2011</w:t>
      </w:r>
      <w:r>
        <w:rPr>
          <w:rFonts w:ascii="宋体" w:hAnsi="宋体" w:cs="宋体" w:hint="eastAsia"/>
          <w:kern w:val="0"/>
          <w:sz w:val="24"/>
        </w:rPr>
        <w:t>年</w:t>
      </w:r>
      <w:r w:rsidR="00E13FF5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月国务院发布）</w:t>
      </w:r>
    </w:p>
    <w:p w:rsidR="003A2D83" w:rsidRPr="00F3504A" w:rsidRDefault="00E37C0A" w:rsidP="00820158">
      <w:pPr>
        <w:pStyle w:val="1"/>
      </w:pPr>
      <w:bookmarkStart w:id="2" w:name="_Toc333090184"/>
      <w:bookmarkStart w:id="3" w:name="_Toc31961"/>
      <w:bookmarkStart w:id="4" w:name="_Toc362208157"/>
      <w:bookmarkStart w:id="5" w:name="_Toc492383060"/>
      <w:r>
        <w:rPr>
          <w:rFonts w:hint="eastAsia"/>
        </w:rPr>
        <w:t>3</w:t>
      </w:r>
      <w:r w:rsidR="007476ED">
        <w:rPr>
          <w:rFonts w:hint="eastAsia"/>
        </w:rPr>
        <w:t xml:space="preserve"> </w:t>
      </w:r>
      <w:r w:rsidR="005F6C64">
        <w:rPr>
          <w:rFonts w:hint="eastAsia"/>
        </w:rPr>
        <w:t>投标方</w:t>
      </w:r>
      <w:r w:rsidR="003A2D83" w:rsidRPr="00F3504A">
        <w:rPr>
          <w:rFonts w:hint="eastAsia"/>
        </w:rPr>
        <w:t>供货范围及工作范围</w:t>
      </w:r>
      <w:bookmarkEnd w:id="2"/>
      <w:bookmarkEnd w:id="3"/>
      <w:bookmarkEnd w:id="4"/>
      <w:bookmarkEnd w:id="5"/>
    </w:p>
    <w:p w:rsidR="00B15C49" w:rsidRDefault="00E37C0A" w:rsidP="008201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 xml:space="preserve">.1 </w:t>
      </w:r>
      <w:r w:rsidR="00CE458E">
        <w:rPr>
          <w:rFonts w:ascii="宋体" w:hAnsi="宋体" w:hint="eastAsia"/>
          <w:sz w:val="24"/>
        </w:rPr>
        <w:t>供货范围</w:t>
      </w:r>
      <w:r w:rsidR="009D4647">
        <w:rPr>
          <w:rFonts w:ascii="宋体" w:hAnsi="宋体" w:hint="eastAsia"/>
          <w:sz w:val="24"/>
        </w:rPr>
        <w:t>：</w:t>
      </w:r>
      <w:r w:rsidR="009C33BA">
        <w:rPr>
          <w:rFonts w:ascii="宋体" w:hAnsi="宋体"/>
          <w:sz w:val="24"/>
        </w:rPr>
        <w:t xml:space="preserve"> </w:t>
      </w:r>
    </w:p>
    <w:tbl>
      <w:tblPr>
        <w:tblStyle w:val="a9"/>
        <w:tblW w:w="0" w:type="auto"/>
        <w:tblInd w:w="392" w:type="dxa"/>
        <w:tblLook w:val="04A0"/>
      </w:tblPr>
      <w:tblGrid>
        <w:gridCol w:w="2615"/>
        <w:gridCol w:w="2616"/>
        <w:gridCol w:w="2122"/>
      </w:tblGrid>
      <w:tr w:rsidR="00084F5E" w:rsidTr="00084F5E">
        <w:trPr>
          <w:trHeight w:val="604"/>
        </w:trPr>
        <w:tc>
          <w:tcPr>
            <w:tcW w:w="2615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物资名称</w:t>
            </w:r>
          </w:p>
        </w:tc>
        <w:tc>
          <w:tcPr>
            <w:tcW w:w="2616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执行标准</w:t>
            </w:r>
          </w:p>
        </w:tc>
        <w:tc>
          <w:tcPr>
            <w:tcW w:w="2122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</w:tr>
      <w:tr w:rsidR="00084F5E" w:rsidTr="00084F5E">
        <w:trPr>
          <w:trHeight w:val="622"/>
        </w:trPr>
        <w:tc>
          <w:tcPr>
            <w:tcW w:w="2615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液氨</w:t>
            </w:r>
          </w:p>
        </w:tc>
        <w:tc>
          <w:tcPr>
            <w:tcW w:w="2616" w:type="dxa"/>
          </w:tcPr>
          <w:p w:rsidR="00084F5E" w:rsidRPr="00515527" w:rsidRDefault="00084F5E" w:rsidP="00E37C0A">
            <w:pPr>
              <w:spacing w:line="5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GB</w:t>
            </w:r>
            <w:r w:rsidR="00AF449D">
              <w:rPr>
                <w:rFonts w:ascii="宋体" w:hAnsi="宋体" w:cs="宋体" w:hint="eastAsia"/>
                <w:kern w:val="0"/>
                <w:sz w:val="24"/>
              </w:rPr>
              <w:t>/T</w:t>
            </w:r>
            <w:r w:rsidRPr="00E82125">
              <w:rPr>
                <w:rFonts w:ascii="宋体" w:hAnsi="宋体" w:cs="宋体" w:hint="eastAsia"/>
                <w:kern w:val="0"/>
                <w:sz w:val="24"/>
              </w:rPr>
              <w:t>536-</w:t>
            </w:r>
            <w:r w:rsidR="00AF449D">
              <w:rPr>
                <w:rFonts w:ascii="宋体" w:hAnsi="宋体" w:cs="宋体" w:hint="eastAsia"/>
                <w:kern w:val="0"/>
                <w:sz w:val="24"/>
              </w:rPr>
              <w:t>2017</w:t>
            </w:r>
          </w:p>
        </w:tc>
        <w:tc>
          <w:tcPr>
            <w:tcW w:w="2122" w:type="dxa"/>
          </w:tcPr>
          <w:p w:rsidR="00084F5E" w:rsidRPr="00515527" w:rsidRDefault="00E37C0A" w:rsidP="00E37C0A">
            <w:pPr>
              <w:spacing w:line="5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  <w:r w:rsidR="00084F5E" w:rsidRPr="00E82125">
              <w:rPr>
                <w:rFonts w:ascii="宋体" w:hAnsi="宋体" w:hint="eastAsia"/>
                <w:sz w:val="24"/>
              </w:rPr>
              <w:t>品</w:t>
            </w:r>
          </w:p>
        </w:tc>
      </w:tr>
    </w:tbl>
    <w:p w:rsidR="003A2D83" w:rsidRDefault="00E37C0A" w:rsidP="00F3504A">
      <w:pPr>
        <w:spacing w:line="500" w:lineRule="exact"/>
        <w:rPr>
          <w:rFonts w:ascii="宋体"/>
          <w:sz w:val="24"/>
        </w:rPr>
      </w:pPr>
      <w:bookmarkStart w:id="6" w:name="_Toc333090185"/>
      <w:bookmarkStart w:id="7" w:name="_Toc10005"/>
      <w:r>
        <w:rPr>
          <w:rFonts w:asciiTheme="minorEastAsia" w:eastAsiaTheme="minorEastAsia" w:hAnsiTheme="minorEastAsia" w:hint="eastAsia"/>
          <w:sz w:val="24"/>
        </w:rPr>
        <w:t>3</w:t>
      </w:r>
      <w:r w:rsidR="003A2D83" w:rsidRPr="00B57DDE">
        <w:rPr>
          <w:rFonts w:asciiTheme="minorEastAsia" w:eastAsiaTheme="minorEastAsia" w:hAnsiTheme="minorEastAsia"/>
          <w:sz w:val="24"/>
        </w:rPr>
        <w:t>.</w:t>
      </w:r>
      <w:r w:rsidR="00FC5DDC">
        <w:rPr>
          <w:rFonts w:asciiTheme="minorEastAsia" w:eastAsiaTheme="minorEastAsia" w:hAnsiTheme="minorEastAsia" w:hint="eastAsia"/>
          <w:sz w:val="24"/>
        </w:rPr>
        <w:t>2</w:t>
      </w:r>
      <w:r w:rsidR="003A2D83">
        <w:rPr>
          <w:rFonts w:ascii="宋体" w:hAnsi="宋体" w:hint="eastAsia"/>
          <w:sz w:val="24"/>
        </w:rPr>
        <w:t>工作范围，包括但不限于以下内容：</w:t>
      </w:r>
    </w:p>
    <w:p w:rsidR="00F566AF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.1</w:t>
      </w:r>
      <w:r w:rsidR="00FC5DDC">
        <w:rPr>
          <w:rFonts w:ascii="宋体" w:hAnsi="宋体" w:hint="eastAsia"/>
          <w:sz w:val="24"/>
        </w:rPr>
        <w:t>投标方供货时，需提供产品的质量证明书，内容包括：</w:t>
      </w:r>
    </w:p>
    <w:p w:rsidR="00F566AF" w:rsidRPr="00F566AF" w:rsidRDefault="00FC5DDC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 w:rsidRPr="00F566AF">
        <w:rPr>
          <w:rFonts w:ascii="宋体" w:hAnsi="宋体" w:hint="eastAsia"/>
          <w:sz w:val="24"/>
        </w:rPr>
        <w:t>生产企</w:t>
      </w:r>
      <w:r w:rsidR="00F566AF">
        <w:rPr>
          <w:rFonts w:ascii="宋体" w:hAnsi="宋体" w:hint="eastAsia"/>
          <w:sz w:val="24"/>
        </w:rPr>
        <w:t>业名称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产品名称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型号规格</w:t>
      </w:r>
      <w:r w:rsidR="00820158">
        <w:rPr>
          <w:rFonts w:ascii="宋体" w:hAnsi="宋体" w:hint="eastAsia"/>
          <w:sz w:val="24"/>
        </w:rPr>
        <w:t>、数量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质量指标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等级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批号或生产日期</w:t>
      </w:r>
    </w:p>
    <w:p w:rsidR="003A2D83" w:rsidRPr="00F566AF" w:rsidRDefault="00FC5DDC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 w:rsidRPr="00F566AF">
        <w:rPr>
          <w:rFonts w:ascii="宋体" w:hAnsi="宋体" w:hint="eastAsia"/>
          <w:sz w:val="24"/>
        </w:rPr>
        <w:t>执行标准号</w:t>
      </w:r>
    </w:p>
    <w:p w:rsidR="00716E2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.2</w:t>
      </w:r>
      <w:r w:rsidR="00716E23">
        <w:rPr>
          <w:rFonts w:ascii="宋体" w:hAnsi="宋体" w:hint="eastAsia"/>
          <w:sz w:val="24"/>
        </w:rPr>
        <w:t>产品的生产、</w:t>
      </w:r>
      <w:r w:rsidR="00716E23">
        <w:rPr>
          <w:rFonts w:ascii="宋体" w:hAnsi="宋体"/>
          <w:sz w:val="24"/>
        </w:rPr>
        <w:t>包装</w:t>
      </w:r>
      <w:r w:rsidR="00716E23">
        <w:rPr>
          <w:rFonts w:ascii="宋体" w:hAnsi="宋体" w:hint="eastAsia"/>
          <w:sz w:val="24"/>
        </w:rPr>
        <w:t>、</w:t>
      </w:r>
      <w:r w:rsidR="00716E23">
        <w:rPr>
          <w:rFonts w:ascii="宋体" w:hAnsi="宋体"/>
          <w:sz w:val="24"/>
        </w:rPr>
        <w:t>运输</w:t>
      </w:r>
      <w:r w:rsidR="00716E23">
        <w:rPr>
          <w:rFonts w:ascii="宋体" w:hAnsi="宋体" w:hint="eastAsia"/>
          <w:sz w:val="24"/>
        </w:rPr>
        <w:t>；</w:t>
      </w:r>
    </w:p>
    <w:p w:rsidR="003A2D8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16E23">
        <w:rPr>
          <w:rFonts w:ascii="宋体" w:hAnsi="宋体" w:hint="eastAsia"/>
          <w:sz w:val="24"/>
        </w:rPr>
        <w:t>.3</w:t>
      </w:r>
      <w:r w:rsidR="00716E23">
        <w:rPr>
          <w:rFonts w:ascii="宋体" w:hAnsi="宋体"/>
          <w:sz w:val="24"/>
        </w:rPr>
        <w:t>.</w:t>
      </w:r>
      <w:r w:rsidR="00716E23">
        <w:rPr>
          <w:rFonts w:ascii="宋体" w:hAnsi="宋体" w:hint="eastAsia"/>
          <w:sz w:val="24"/>
        </w:rPr>
        <w:t>3</w:t>
      </w:r>
      <w:r w:rsidR="00C42AA6">
        <w:rPr>
          <w:rFonts w:ascii="宋体" w:hAnsi="宋体" w:hint="eastAsia"/>
          <w:sz w:val="24"/>
        </w:rPr>
        <w:t>投标方负责</w:t>
      </w:r>
      <w:r w:rsidR="00714B20">
        <w:rPr>
          <w:rFonts w:ascii="宋体" w:hAnsi="宋体" w:hint="eastAsia"/>
          <w:sz w:val="24"/>
        </w:rPr>
        <w:t>产</w:t>
      </w:r>
      <w:r w:rsidR="00C42AA6">
        <w:rPr>
          <w:rFonts w:ascii="宋体" w:hAnsi="宋体" w:hint="eastAsia"/>
          <w:sz w:val="24"/>
        </w:rPr>
        <w:t>品</w:t>
      </w:r>
      <w:r w:rsidR="00714B20">
        <w:rPr>
          <w:rFonts w:ascii="宋体" w:hAnsi="宋体" w:hint="eastAsia"/>
          <w:sz w:val="24"/>
        </w:rPr>
        <w:t>的生产质量及</w:t>
      </w:r>
      <w:r w:rsidR="00C42AA6">
        <w:rPr>
          <w:rFonts w:ascii="宋体" w:hAnsi="宋体" w:hint="eastAsia"/>
          <w:sz w:val="24"/>
        </w:rPr>
        <w:t>运输</w:t>
      </w:r>
      <w:r w:rsidR="00716E23">
        <w:rPr>
          <w:rFonts w:ascii="宋体" w:hAnsi="宋体" w:cs="宋体" w:hint="eastAsia"/>
          <w:kern w:val="0"/>
          <w:sz w:val="24"/>
        </w:rPr>
        <w:t>过程中产品的保护</w:t>
      </w:r>
      <w:r w:rsidR="003A2D83">
        <w:rPr>
          <w:rFonts w:ascii="宋体" w:hAnsi="宋体"/>
          <w:sz w:val="24"/>
        </w:rPr>
        <w:t>；</w:t>
      </w:r>
    </w:p>
    <w:p w:rsidR="003A2D8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/>
          <w:sz w:val="24"/>
        </w:rPr>
        <w:t>.</w:t>
      </w:r>
      <w:r w:rsidR="00716E23">
        <w:rPr>
          <w:rFonts w:ascii="宋体" w:hAnsi="宋体" w:hint="eastAsia"/>
          <w:sz w:val="24"/>
        </w:rPr>
        <w:t>4</w:t>
      </w:r>
      <w:r w:rsidR="001A54B7">
        <w:rPr>
          <w:rFonts w:ascii="宋体" w:hAnsi="宋体" w:hint="eastAsia"/>
          <w:sz w:val="24"/>
        </w:rPr>
        <w:t>产品到场后，投标方对招标方所供产品进行复检，复检不合格的产品，投标方应无条件立即更换</w:t>
      </w:r>
      <w:r w:rsidR="003A2D83">
        <w:rPr>
          <w:rFonts w:ascii="宋体" w:hAnsi="宋体" w:hint="eastAsia"/>
          <w:sz w:val="24"/>
        </w:rPr>
        <w:t>；</w:t>
      </w:r>
    </w:p>
    <w:p w:rsidR="003A2D83" w:rsidRPr="006346F3" w:rsidRDefault="00E37C0A" w:rsidP="002227FB">
      <w:pPr>
        <w:pStyle w:val="1"/>
      </w:pPr>
      <w:bookmarkStart w:id="8" w:name="_Toc362208158"/>
      <w:bookmarkStart w:id="9" w:name="_Toc492383061"/>
      <w:r>
        <w:rPr>
          <w:rFonts w:hint="eastAsia"/>
        </w:rPr>
        <w:t>4</w:t>
      </w:r>
      <w:r w:rsidR="007476ED">
        <w:rPr>
          <w:rFonts w:hint="eastAsia"/>
        </w:rPr>
        <w:t xml:space="preserve"> </w:t>
      </w:r>
      <w:bookmarkEnd w:id="6"/>
      <w:bookmarkEnd w:id="7"/>
      <w:bookmarkEnd w:id="8"/>
      <w:r w:rsidR="006346F3">
        <w:rPr>
          <w:rFonts w:hint="eastAsia"/>
        </w:rPr>
        <w:t>技术要求</w:t>
      </w:r>
      <w:bookmarkStart w:id="10" w:name="_Toc333090187"/>
      <w:bookmarkStart w:id="11" w:name="_Toc28269"/>
      <w:bookmarkEnd w:id="9"/>
    </w:p>
    <w:p w:rsidR="006346F3" w:rsidRDefault="00E37C0A" w:rsidP="002227F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4</w:t>
      </w:r>
      <w:r w:rsidR="003A2D83">
        <w:rPr>
          <w:rFonts w:ascii="宋体" w:hAnsi="宋体"/>
          <w:sz w:val="24"/>
        </w:rPr>
        <w:t>.</w:t>
      </w:r>
      <w:r w:rsidR="006346F3">
        <w:rPr>
          <w:rFonts w:ascii="宋体" w:hAnsi="宋体" w:hint="eastAsia"/>
          <w:sz w:val="24"/>
        </w:rPr>
        <w:t>1</w:t>
      </w:r>
      <w:r w:rsidR="006346F3">
        <w:rPr>
          <w:rFonts w:ascii="宋体" w:hAnsi="宋体" w:cs="宋体" w:hint="eastAsia"/>
          <w:kern w:val="0"/>
          <w:sz w:val="24"/>
        </w:rPr>
        <w:t>外观：</w:t>
      </w:r>
      <w:r w:rsidR="006346F3" w:rsidRPr="00E82125">
        <w:rPr>
          <w:rFonts w:ascii="宋体" w:hAnsi="宋体" w:cs="宋体" w:hint="eastAsia"/>
          <w:kern w:val="0"/>
          <w:sz w:val="24"/>
        </w:rPr>
        <w:t>无色液体</w:t>
      </w:r>
    </w:p>
    <w:p w:rsidR="003A2D83" w:rsidRDefault="00E37C0A" w:rsidP="00F3504A">
      <w:pPr>
        <w:widowControl/>
        <w:snapToGrid w:val="0"/>
        <w:spacing w:line="5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3A2D83">
        <w:rPr>
          <w:rFonts w:ascii="宋体" w:hAnsi="宋体" w:cs="宋体" w:hint="eastAsia"/>
          <w:kern w:val="0"/>
          <w:sz w:val="24"/>
        </w:rPr>
        <w:t>.</w:t>
      </w:r>
      <w:r w:rsidR="00416CD7">
        <w:rPr>
          <w:rFonts w:ascii="宋体" w:hAnsi="宋体" w:cs="宋体" w:hint="eastAsia"/>
          <w:kern w:val="0"/>
          <w:sz w:val="24"/>
        </w:rPr>
        <w:t xml:space="preserve">2 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7263E3">
        <w:rPr>
          <w:rFonts w:ascii="宋体" w:hAnsi="宋体" w:cs="宋体" w:hint="eastAsia"/>
          <w:kern w:val="0"/>
          <w:sz w:val="24"/>
        </w:rPr>
        <w:t>应符合下表质量标准</w:t>
      </w:r>
      <w:r w:rsidR="007D5E4C">
        <w:rPr>
          <w:rFonts w:ascii="宋体" w:hAnsi="宋体" w:cs="宋体" w:hint="eastAsia"/>
          <w:kern w:val="0"/>
          <w:sz w:val="24"/>
        </w:rPr>
        <w:t xml:space="preserve"> </w:t>
      </w:r>
      <w:r w:rsidR="005D5294">
        <w:rPr>
          <w:rFonts w:ascii="宋体" w:hAnsi="宋体" w:cs="宋体" w:hint="eastAsia"/>
          <w:kern w:val="0"/>
          <w:sz w:val="24"/>
        </w:rPr>
        <w:t>（</w:t>
      </w:r>
      <w:r w:rsidR="00AF449D" w:rsidRPr="00E82125">
        <w:rPr>
          <w:rFonts w:ascii="宋体" w:hAnsi="宋体" w:cs="宋体" w:hint="eastAsia"/>
          <w:kern w:val="0"/>
          <w:sz w:val="24"/>
        </w:rPr>
        <w:t>GB</w:t>
      </w:r>
      <w:r w:rsidR="00AF449D">
        <w:rPr>
          <w:rFonts w:ascii="宋体" w:hAnsi="宋体" w:cs="宋体" w:hint="eastAsia"/>
          <w:kern w:val="0"/>
          <w:sz w:val="24"/>
        </w:rPr>
        <w:t>/T</w:t>
      </w:r>
      <w:r w:rsidR="00AF449D" w:rsidRPr="00E82125">
        <w:rPr>
          <w:rFonts w:ascii="宋体" w:hAnsi="宋体" w:cs="宋体" w:hint="eastAsia"/>
          <w:kern w:val="0"/>
          <w:sz w:val="24"/>
        </w:rPr>
        <w:t>536-</w:t>
      </w:r>
      <w:r w:rsidR="00AF449D">
        <w:rPr>
          <w:rFonts w:ascii="宋体" w:hAnsi="宋体" w:cs="宋体" w:hint="eastAsia"/>
          <w:kern w:val="0"/>
          <w:sz w:val="24"/>
        </w:rPr>
        <w:t>2017</w:t>
      </w:r>
      <w:r w:rsidR="005D5294">
        <w:rPr>
          <w:rFonts w:ascii="宋体" w:hAnsi="宋体" w:cs="宋体"/>
          <w:kern w:val="0"/>
          <w:sz w:val="24"/>
        </w:rPr>
        <w:t>）</w:t>
      </w:r>
    </w:p>
    <w:tbl>
      <w:tblPr>
        <w:tblStyle w:val="a9"/>
        <w:tblW w:w="0" w:type="auto"/>
        <w:jc w:val="center"/>
        <w:tblInd w:w="-831" w:type="dxa"/>
        <w:tblLook w:val="04A0"/>
      </w:tblPr>
      <w:tblGrid>
        <w:gridCol w:w="4283"/>
        <w:gridCol w:w="2665"/>
      </w:tblGrid>
      <w:tr w:rsidR="00B80E75" w:rsidTr="00E82125">
        <w:trPr>
          <w:jc w:val="center"/>
        </w:trPr>
        <w:tc>
          <w:tcPr>
            <w:tcW w:w="4283" w:type="dxa"/>
          </w:tcPr>
          <w:p w:rsidR="00B80E75" w:rsidRDefault="00CE458E" w:rsidP="00B80E7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2665" w:type="dxa"/>
          </w:tcPr>
          <w:p w:rsidR="00B80E75" w:rsidRDefault="00CE458E" w:rsidP="00B80E7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含量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</w:tcPr>
          <w:p w:rsidR="00B80E75" w:rsidRPr="00E82125" w:rsidRDefault="00E82125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氨含量</w:t>
            </w:r>
          </w:p>
        </w:tc>
        <w:tc>
          <w:tcPr>
            <w:tcW w:w="2665" w:type="dxa"/>
          </w:tcPr>
          <w:p w:rsidR="00B80E75" w:rsidRPr="00E82125" w:rsidRDefault="0044346A" w:rsidP="00AF449D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="00E82125" w:rsidRPr="00E82125">
              <w:rPr>
                <w:rFonts w:ascii="宋体" w:hAnsi="宋体" w:cs="宋体" w:hint="eastAsia"/>
                <w:kern w:val="0"/>
                <w:sz w:val="24"/>
              </w:rPr>
              <w:t>99</w:t>
            </w:r>
            <w:r w:rsidR="00AF449D">
              <w:rPr>
                <w:rFonts w:ascii="宋体" w:hAnsi="宋体" w:cs="宋体" w:hint="eastAsia"/>
                <w:kern w:val="0"/>
                <w:sz w:val="24"/>
              </w:rPr>
              <w:t>.0</w:t>
            </w:r>
            <w:r w:rsidR="00315C44" w:rsidRPr="00E8212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</w:tcPr>
          <w:p w:rsidR="00B80E75" w:rsidRPr="00E82125" w:rsidRDefault="00E82125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残留物含量</w:t>
            </w:r>
          </w:p>
        </w:tc>
        <w:tc>
          <w:tcPr>
            <w:tcW w:w="2665" w:type="dxa"/>
          </w:tcPr>
          <w:p w:rsidR="00B80E75" w:rsidRPr="00E82125" w:rsidRDefault="0044346A" w:rsidP="00AF449D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="00AF449D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315C44" w:rsidRPr="00E82125">
              <w:rPr>
                <w:rFonts w:ascii="宋体" w:hAnsi="宋体" w:cs="宋体" w:hint="eastAsia"/>
                <w:kern w:val="0"/>
                <w:sz w:val="24"/>
              </w:rPr>
              <w:t>%</w:t>
            </w:r>
            <w:r w:rsidR="00E82125">
              <w:rPr>
                <w:rFonts w:ascii="宋体" w:hAnsi="宋体" w:cs="宋体" w:hint="eastAsia"/>
                <w:kern w:val="0"/>
                <w:sz w:val="24"/>
              </w:rPr>
              <w:t>（重量法）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  <w:vAlign w:val="center"/>
          </w:tcPr>
          <w:p w:rsidR="00B80E75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水分</w:t>
            </w:r>
          </w:p>
        </w:tc>
        <w:tc>
          <w:tcPr>
            <w:tcW w:w="2665" w:type="dxa"/>
          </w:tcPr>
          <w:p w:rsidR="00B80E75" w:rsidRPr="00E82125" w:rsidRDefault="00E37C0A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  <w:vAlign w:val="center"/>
          </w:tcPr>
          <w:p w:rsidR="00B80E75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油含量</w:t>
            </w:r>
          </w:p>
        </w:tc>
        <w:tc>
          <w:tcPr>
            <w:tcW w:w="2665" w:type="dxa"/>
          </w:tcPr>
          <w:p w:rsidR="00511E34" w:rsidRPr="00E82125" w:rsidRDefault="00E37C0A" w:rsidP="00511E34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315C44" w:rsidTr="00E82125">
        <w:trPr>
          <w:jc w:val="center"/>
        </w:trPr>
        <w:tc>
          <w:tcPr>
            <w:tcW w:w="4283" w:type="dxa"/>
            <w:vAlign w:val="center"/>
          </w:tcPr>
          <w:p w:rsidR="00315C44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铁含量</w:t>
            </w:r>
          </w:p>
        </w:tc>
        <w:tc>
          <w:tcPr>
            <w:tcW w:w="2665" w:type="dxa"/>
          </w:tcPr>
          <w:p w:rsidR="00315C44" w:rsidRPr="00E82125" w:rsidRDefault="00E37C0A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</w:tbl>
    <w:p w:rsidR="00B57DDE" w:rsidRDefault="00E37C0A" w:rsidP="00B57DDE">
      <w:pPr>
        <w:pStyle w:val="1"/>
      </w:pPr>
      <w:bookmarkStart w:id="12" w:name="_Toc492383062"/>
      <w:bookmarkStart w:id="13" w:name="_Toc333090188"/>
      <w:bookmarkStart w:id="14" w:name="_Toc7156"/>
      <w:bookmarkStart w:id="15" w:name="_Toc362208160"/>
      <w:bookmarkEnd w:id="10"/>
      <w:bookmarkEnd w:id="11"/>
      <w:r>
        <w:rPr>
          <w:rFonts w:hint="eastAsia"/>
        </w:rPr>
        <w:t>5</w:t>
      </w:r>
      <w:r w:rsidR="002227FB">
        <w:rPr>
          <w:rFonts w:hint="eastAsia"/>
        </w:rPr>
        <w:t>检测</w:t>
      </w:r>
      <w:r w:rsidR="00B57DDE">
        <w:rPr>
          <w:rFonts w:hint="eastAsia"/>
        </w:rPr>
        <w:t>检验</w:t>
      </w:r>
      <w:bookmarkEnd w:id="12"/>
    </w:p>
    <w:p w:rsidR="00B57DDE" w:rsidRP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B57DDE" w:rsidRPr="00B57DDE">
        <w:rPr>
          <w:rFonts w:asciiTheme="minorEastAsia" w:eastAsiaTheme="minorEastAsia" w:hAnsiTheme="minorEastAsia"/>
          <w:sz w:val="24"/>
        </w:rPr>
        <w:t>.</w:t>
      </w:r>
      <w:r w:rsidR="00B57DDE" w:rsidRPr="00B57DDE">
        <w:rPr>
          <w:rFonts w:asciiTheme="minorEastAsia" w:eastAsiaTheme="minorEastAsia" w:hAnsiTheme="minorEastAsia" w:hint="eastAsia"/>
          <w:sz w:val="24"/>
        </w:rPr>
        <w:t>1</w:t>
      </w:r>
      <w:r w:rsidR="00A4225E">
        <w:rPr>
          <w:rFonts w:asciiTheme="minorEastAsia" w:eastAsiaTheme="minorEastAsia" w:hAnsiTheme="minorEastAsia" w:hint="eastAsia"/>
          <w:sz w:val="24"/>
        </w:rPr>
        <w:t xml:space="preserve"> </w:t>
      </w:r>
      <w:r w:rsidR="002227FB">
        <w:rPr>
          <w:rFonts w:asciiTheme="minorEastAsia" w:eastAsiaTheme="minorEastAsia" w:hAnsiTheme="minorEastAsia" w:hint="eastAsia"/>
          <w:sz w:val="24"/>
        </w:rPr>
        <w:t>投标方供货时，应提供产品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生产厂的质量监督部门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出具的检验报告或质量证明书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投标方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保证所有出厂的产品符合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国家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标准。</w:t>
      </w:r>
    </w:p>
    <w:p w:rsidR="00B57DDE" w:rsidRP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B57DDE" w:rsidRPr="00B57DDE">
        <w:rPr>
          <w:rFonts w:asciiTheme="minorEastAsia" w:eastAsiaTheme="minorEastAsia" w:hAnsiTheme="minorEastAsia"/>
          <w:sz w:val="24"/>
        </w:rPr>
        <w:t>.</w:t>
      </w:r>
      <w:r w:rsidR="00B57DDE" w:rsidRPr="00B57DDE">
        <w:rPr>
          <w:rFonts w:asciiTheme="minorEastAsia" w:eastAsiaTheme="minorEastAsia" w:hAnsiTheme="minorEastAsia" w:hint="eastAsia"/>
          <w:sz w:val="24"/>
        </w:rPr>
        <w:t>2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每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批出厂的</w:t>
      </w:r>
      <w:r w:rsidR="005155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都应附有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符合国家规定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的质量说明书，内容包括：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安全标签、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产品名称</w:t>
      </w:r>
      <w:r w:rsidR="001F336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产品等级、批号或槽车号，</w:t>
      </w:r>
      <w:r w:rsidR="007D5E4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生产日期、产品净重或件数、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标准编号。</w:t>
      </w:r>
    </w:p>
    <w:p w:rsidR="003A2D83" w:rsidRPr="00B57DDE" w:rsidRDefault="00E37C0A" w:rsidP="00E37C0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.3</w:t>
      </w:r>
      <w:r w:rsidR="00360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招标方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按照标准规定检验</w:t>
      </w:r>
      <w:r w:rsidR="00360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投标方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5155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是否符合要求。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检验结果如有一项指标不符合</w:t>
      </w:r>
      <w:r>
        <w:rPr>
          <w:rFonts w:ascii="宋体" w:hAnsi="宋体" w:cs="宋体" w:hint="eastAsia"/>
          <w:kern w:val="0"/>
          <w:sz w:val="24"/>
        </w:rPr>
        <w:t>4</w:t>
      </w:r>
      <w:r w:rsidR="004E20D4">
        <w:rPr>
          <w:rFonts w:ascii="宋体" w:hAnsi="宋体" w:cs="宋体" w:hint="eastAsia"/>
          <w:kern w:val="0"/>
          <w:sz w:val="24"/>
        </w:rPr>
        <w:t>.2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要求，应重新</w:t>
      </w:r>
      <w:r w:rsidR="004E20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取样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进行复检。复检结果中仍有指标不符合本标准要求</w:t>
      </w:r>
      <w:r w:rsidR="004E20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12C8E">
        <w:rPr>
          <w:rFonts w:ascii="宋体" w:hAnsi="宋体" w:hint="eastAsia"/>
          <w:sz w:val="24"/>
        </w:rPr>
        <w:t>投标方应无条件立即更换。</w:t>
      </w:r>
    </w:p>
    <w:p w:rsid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.4</w:t>
      </w:r>
      <w:r w:rsidR="00EE1C10" w:rsidRPr="00B57DDE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当供需双方对产品质量发生异议需要仲裁时，按国家标准局国标发（1985）035号《全国产品质量仲裁检验暂行办法》规定仲裁。</w:t>
      </w:r>
    </w:p>
    <w:p w:rsidR="000111B2" w:rsidRDefault="00E37C0A" w:rsidP="000111B2">
      <w:pPr>
        <w:pStyle w:val="1"/>
      </w:pPr>
      <w:bookmarkStart w:id="16" w:name="_Toc492383063"/>
      <w:r>
        <w:rPr>
          <w:rFonts w:hint="eastAsia"/>
        </w:rPr>
        <w:lastRenderedPageBreak/>
        <w:t>6</w:t>
      </w:r>
      <w:r w:rsidR="000111B2">
        <w:rPr>
          <w:rFonts w:hint="eastAsia"/>
        </w:rPr>
        <w:t>包装、标志、贮存和运输</w:t>
      </w:r>
      <w:bookmarkEnd w:id="16"/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 w:rsidR="000111B2" w:rsidRPr="000111B2">
        <w:rPr>
          <w:rFonts w:asciiTheme="minorEastAsia" w:eastAsiaTheme="minorEastAsia" w:hAnsiTheme="minorEastAsia" w:cs="宋体"/>
          <w:kern w:val="0"/>
          <w:sz w:val="24"/>
        </w:rPr>
        <w:t>.1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40F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应采用</w:t>
      </w:r>
      <w:r w:rsidR="005D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符合相关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规定的</w:t>
      </w:r>
      <w:r w:rsidR="00A01E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040F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槽车装运，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EE1C10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槽车应装有专用取样设备，也允许生产厂在灌装前取样检测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770443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.2</w:t>
      </w:r>
      <w:r w:rsidR="00751B1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一切含铜容器均不得灌装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111B2" w:rsidRPr="00770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0111B2" w:rsidRPr="00770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.3</w:t>
      </w:r>
      <w:r w:rsidR="00751B1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灌装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外壁应按GB190中规定的“</w:t>
      </w:r>
      <w:r w:rsidR="00636F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有毒</w:t>
      </w:r>
      <w:r w:rsidR="00466C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液体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”标志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6.4</w:t>
      </w:r>
      <w:r w:rsidR="001D06B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装运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E31AE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的容器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和槽车，必须符合中华人民共和国交通部制订的《危险货物运输规则》，在运输过程中避免受热，严禁烟火。</w:t>
      </w:r>
    </w:p>
    <w:p w:rsidR="003A2D83" w:rsidRPr="00F3504A" w:rsidRDefault="00E37C0A" w:rsidP="003A2D83">
      <w:pPr>
        <w:pStyle w:val="1"/>
      </w:pPr>
      <w:bookmarkStart w:id="17" w:name="_Toc492383064"/>
      <w:r>
        <w:rPr>
          <w:rFonts w:hint="eastAsia"/>
        </w:rPr>
        <w:t>7</w:t>
      </w:r>
      <w:r w:rsidR="007476ED">
        <w:rPr>
          <w:rFonts w:hint="eastAsia"/>
        </w:rPr>
        <w:t xml:space="preserve"> </w:t>
      </w:r>
      <w:r w:rsidR="003A2D83" w:rsidRPr="00F3504A">
        <w:rPr>
          <w:rFonts w:hint="eastAsia"/>
        </w:rPr>
        <w:t>产品质量保证</w:t>
      </w:r>
      <w:bookmarkEnd w:id="13"/>
      <w:bookmarkEnd w:id="14"/>
      <w:r w:rsidR="004429BF">
        <w:rPr>
          <w:rFonts w:hint="eastAsia"/>
        </w:rPr>
        <w:t>及</w:t>
      </w:r>
      <w:r w:rsidR="003A2D83" w:rsidRPr="00F3504A">
        <w:rPr>
          <w:rFonts w:hint="eastAsia"/>
        </w:rPr>
        <w:t>考核</w:t>
      </w:r>
      <w:bookmarkEnd w:id="15"/>
      <w:bookmarkEnd w:id="17"/>
    </w:p>
    <w:p w:rsidR="00AF449D" w:rsidRDefault="00AF449D" w:rsidP="00AF449D">
      <w:pPr>
        <w:spacing w:line="500" w:lineRule="exact"/>
        <w:rPr>
          <w:rFonts w:ascii="宋体" w:hAnsi="宋体"/>
          <w:sz w:val="24"/>
          <w:szCs w:val="24"/>
        </w:rPr>
      </w:pPr>
      <w:bookmarkStart w:id="18" w:name="_Toc492383065"/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 xml:space="preserve">.1 </w:t>
      </w:r>
      <w:r>
        <w:rPr>
          <w:rFonts w:ascii="宋体" w:hAnsi="宋体" w:cs="宋体" w:hint="eastAsia"/>
          <w:kern w:val="0"/>
          <w:sz w:val="24"/>
        </w:rPr>
        <w:t>产品质量保证</w:t>
      </w:r>
    </w:p>
    <w:p w:rsidR="00AF449D" w:rsidRDefault="00AF449D" w:rsidP="00AF449D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7.1.1卖方必须保证所提供的产品采用最佳原料和一流工艺生产的，并在各个方面符合规定的质量、规格、性质等要求；</w:t>
      </w:r>
    </w:p>
    <w:p w:rsidR="00AF449D" w:rsidRDefault="00AF449D" w:rsidP="00AF449D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7.1.2产品的质量保证期为正常使用</w:t>
      </w:r>
      <w:r w:rsidRPr="007715D8">
        <w:rPr>
          <w:rFonts w:ascii="宋体" w:hAnsi="宋体" w:hint="eastAsia"/>
          <w:color w:val="000000" w:themeColor="text1"/>
          <w:sz w:val="24"/>
          <w:szCs w:val="24"/>
        </w:rPr>
        <w:t>后</w:t>
      </w:r>
      <w:r w:rsidR="004720CB">
        <w:rPr>
          <w:rFonts w:ascii="宋体" w:hAnsi="宋体" w:hint="eastAsia"/>
          <w:color w:val="000000" w:themeColor="text1"/>
          <w:sz w:val="24"/>
          <w:szCs w:val="24"/>
        </w:rPr>
        <w:t>6</w:t>
      </w:r>
      <w:r w:rsidRPr="007715D8">
        <w:rPr>
          <w:rFonts w:ascii="宋体" w:hAnsi="宋体" w:hint="eastAsia"/>
          <w:color w:val="000000" w:themeColor="text1"/>
          <w:sz w:val="24"/>
          <w:szCs w:val="24"/>
        </w:rPr>
        <w:t>个月</w:t>
      </w:r>
      <w:r>
        <w:rPr>
          <w:rFonts w:ascii="宋体" w:hAnsi="宋体" w:hint="eastAsia"/>
          <w:sz w:val="24"/>
          <w:szCs w:val="24"/>
        </w:rPr>
        <w:t>；</w:t>
      </w:r>
    </w:p>
    <w:p w:rsidR="00AF449D" w:rsidRDefault="00AF449D" w:rsidP="00AF449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4D2972"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 xml:space="preserve"> 质量</w:t>
      </w:r>
      <w:r w:rsidRPr="004D2972">
        <w:rPr>
          <w:rFonts w:ascii="宋体" w:hAnsi="宋体" w:hint="eastAsia"/>
          <w:sz w:val="24"/>
        </w:rPr>
        <w:t>考核</w:t>
      </w:r>
      <w:r>
        <w:rPr>
          <w:rFonts w:ascii="宋体" w:hAnsi="宋体" w:hint="eastAsia"/>
          <w:sz w:val="24"/>
        </w:rPr>
        <w:t>应符合4</w:t>
      </w:r>
      <w:r w:rsidRPr="00EE543B">
        <w:rPr>
          <w:rFonts w:ascii="宋体" w:hAnsi="宋体" w:hint="eastAsia"/>
          <w:sz w:val="24"/>
        </w:rPr>
        <w:t>.2</w:t>
      </w:r>
      <w:r>
        <w:rPr>
          <w:rFonts w:ascii="宋体" w:hAnsi="宋体" w:hint="eastAsia"/>
          <w:sz w:val="24"/>
        </w:rPr>
        <w:t>中的质量标准要求。</w:t>
      </w:r>
    </w:p>
    <w:p w:rsidR="00AF449D" w:rsidRDefault="00AF449D" w:rsidP="00AF449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7.3 液氨进入厂区后，买方对液氨中氨含量和蒸发残留物进行分析，若分析氨含量浓度小于99.0%，买方对液氨进行复样，若仍不合格，将分析数据告知卖方，买方与卖方进行协商不满足标准的液氨处理方式。</w:t>
      </w:r>
    </w:p>
    <w:p w:rsidR="00AF449D" w:rsidRDefault="00AF449D" w:rsidP="00AF449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氨含量&lt;99.0%时，不满足标准的液氨由买方决定液氨退货或者折价处理，折价时按照折吨数量扣除到货数量，经双方协商同意后进行液氨卸车。例如：液氨罐车到货数量为a吨，分析测得氨含量为b%(b&lt;99.0)，扣除到货液氨数量c =a*(99.0%-b%)*2,实际结算液氨罐车数量为（a-c）吨。</w:t>
      </w:r>
    </w:p>
    <w:p w:rsidR="00F5224E" w:rsidRPr="00F3504A" w:rsidRDefault="00E37C0A" w:rsidP="00F5224E">
      <w:pPr>
        <w:pStyle w:val="1"/>
      </w:pPr>
      <w:r>
        <w:rPr>
          <w:rFonts w:hint="eastAsia"/>
        </w:rPr>
        <w:t>8</w:t>
      </w:r>
      <w:r w:rsidR="00F5224E">
        <w:rPr>
          <w:rFonts w:hint="eastAsia"/>
        </w:rPr>
        <w:t>产品交付</w:t>
      </w:r>
      <w:bookmarkEnd w:id="18"/>
    </w:p>
    <w:p w:rsidR="003A2D83" w:rsidRDefault="00E37C0A" w:rsidP="0025286B">
      <w:pPr>
        <w:spacing w:line="5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3A2D83">
        <w:rPr>
          <w:rFonts w:ascii="宋体" w:hAnsi="宋体"/>
          <w:sz w:val="24"/>
        </w:rPr>
        <w:t>.1</w:t>
      </w:r>
      <w:r w:rsidR="003A2D83">
        <w:rPr>
          <w:rFonts w:ascii="宋体" w:hAnsi="宋体" w:hint="eastAsia"/>
          <w:sz w:val="24"/>
        </w:rPr>
        <w:t>交货日期</w:t>
      </w:r>
      <w:r w:rsidR="003A2D83" w:rsidRPr="00EC6DE7">
        <w:rPr>
          <w:rFonts w:hAnsi="宋体" w:hint="eastAsia"/>
          <w:sz w:val="24"/>
        </w:rPr>
        <w:t>：</w:t>
      </w:r>
      <w:r w:rsidR="00A01E2E">
        <w:rPr>
          <w:rFonts w:hAnsi="宋体" w:hint="eastAsia"/>
          <w:sz w:val="24"/>
        </w:rPr>
        <w:t>合同签订生效后，</w:t>
      </w:r>
      <w:r w:rsidR="004E20D4">
        <w:rPr>
          <w:rFonts w:hAnsi="宋体" w:hint="eastAsia"/>
          <w:sz w:val="24"/>
        </w:rPr>
        <w:t>接到招标方</w:t>
      </w:r>
      <w:r w:rsidR="00A01E2E">
        <w:rPr>
          <w:rFonts w:hAnsi="宋体" w:hint="eastAsia"/>
          <w:sz w:val="24"/>
        </w:rPr>
        <w:t>送货</w:t>
      </w:r>
      <w:r w:rsidR="004E20D4">
        <w:rPr>
          <w:rFonts w:hAnsi="宋体" w:hint="eastAsia"/>
          <w:sz w:val="24"/>
        </w:rPr>
        <w:t>通知</w:t>
      </w:r>
      <w:r w:rsidR="00F61D55">
        <w:rPr>
          <w:rFonts w:hAnsi="宋体" w:hint="eastAsia"/>
          <w:sz w:val="24"/>
        </w:rPr>
        <w:t>和送货量</w:t>
      </w:r>
      <w:r w:rsidR="005D5294">
        <w:rPr>
          <w:rFonts w:hAnsi="宋体" w:hint="eastAsia"/>
          <w:sz w:val="24"/>
        </w:rPr>
        <w:t>后</w:t>
      </w:r>
      <w:r w:rsidR="002711F5">
        <w:rPr>
          <w:rFonts w:hAnsi="宋体" w:hint="eastAsia"/>
          <w:sz w:val="24"/>
        </w:rPr>
        <w:t>5</w:t>
      </w:r>
      <w:r w:rsidR="002711F5">
        <w:rPr>
          <w:rFonts w:hAnsi="宋体" w:hint="eastAsia"/>
          <w:sz w:val="24"/>
        </w:rPr>
        <w:t>日</w:t>
      </w:r>
      <w:r w:rsidR="00A01E2E">
        <w:rPr>
          <w:rFonts w:hAnsi="宋体" w:hint="eastAsia"/>
          <w:sz w:val="24"/>
        </w:rPr>
        <w:t>内送到</w:t>
      </w:r>
      <w:r w:rsidR="003A2D83">
        <w:rPr>
          <w:rFonts w:ascii="宋体" w:hAnsi="宋体" w:hint="eastAsia"/>
          <w:sz w:val="24"/>
        </w:rPr>
        <w:t>；</w:t>
      </w:r>
    </w:p>
    <w:p w:rsidR="003A2D83" w:rsidRDefault="00E37C0A" w:rsidP="0025286B">
      <w:pPr>
        <w:spacing w:line="5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3A2D83">
        <w:rPr>
          <w:rFonts w:ascii="宋体" w:hAnsi="宋体"/>
          <w:sz w:val="24"/>
        </w:rPr>
        <w:t>.2</w:t>
      </w:r>
      <w:r w:rsidR="003A2D83">
        <w:rPr>
          <w:rFonts w:ascii="宋体" w:hAnsi="宋体" w:hint="eastAsia"/>
          <w:sz w:val="24"/>
        </w:rPr>
        <w:t>交货地点：陕西未来能源化工有限公司兖矿榆林</w:t>
      </w:r>
      <w:r w:rsidR="003A2D83">
        <w:rPr>
          <w:rFonts w:ascii="宋体" w:hAnsi="宋体"/>
          <w:sz w:val="24"/>
        </w:rPr>
        <w:t>100</w:t>
      </w:r>
      <w:r w:rsidR="003A2D83">
        <w:rPr>
          <w:rFonts w:ascii="宋体" w:hAnsi="宋体" w:hint="eastAsia"/>
          <w:sz w:val="24"/>
        </w:rPr>
        <w:t>万吨</w:t>
      </w:r>
      <w:r w:rsidR="003A2D83">
        <w:rPr>
          <w:rFonts w:ascii="宋体" w:hAnsi="宋体"/>
          <w:sz w:val="24"/>
        </w:rPr>
        <w:t>/</w:t>
      </w:r>
      <w:r w:rsidR="003A2D83">
        <w:rPr>
          <w:rFonts w:ascii="宋体" w:hAnsi="宋体" w:hint="eastAsia"/>
          <w:sz w:val="24"/>
        </w:rPr>
        <w:t>年煤间接液化示范项目</w:t>
      </w:r>
      <w:r w:rsidR="001A54B7">
        <w:rPr>
          <w:rFonts w:ascii="宋体" w:hAnsi="宋体" w:hint="eastAsia"/>
          <w:sz w:val="24"/>
        </w:rPr>
        <w:t>现场招标方</w:t>
      </w:r>
      <w:r w:rsidR="00530064">
        <w:rPr>
          <w:rFonts w:ascii="宋体" w:hAnsi="宋体" w:hint="eastAsia"/>
          <w:sz w:val="24"/>
        </w:rPr>
        <w:t>指</w:t>
      </w:r>
      <w:r w:rsidR="001A54B7">
        <w:rPr>
          <w:rFonts w:ascii="宋体" w:hAnsi="宋体" w:hint="eastAsia"/>
          <w:sz w:val="24"/>
        </w:rPr>
        <w:t>定地点</w:t>
      </w:r>
      <w:r w:rsidR="003A2D83">
        <w:rPr>
          <w:rFonts w:ascii="宋体" w:hAnsi="宋体" w:hint="eastAsia"/>
          <w:sz w:val="24"/>
        </w:rPr>
        <w:t>；</w:t>
      </w:r>
    </w:p>
    <w:p w:rsidR="003A2D83" w:rsidRDefault="00E37C0A" w:rsidP="0025286B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F5224E">
        <w:rPr>
          <w:rFonts w:ascii="宋体" w:hAnsi="宋体" w:hint="eastAsia"/>
          <w:sz w:val="24"/>
        </w:rPr>
        <w:t>.3</w:t>
      </w:r>
      <w:r w:rsidR="003A2D83">
        <w:rPr>
          <w:rFonts w:ascii="宋体" w:hAnsi="宋体" w:hint="eastAsia"/>
          <w:sz w:val="24"/>
        </w:rPr>
        <w:t>交货方式：</w:t>
      </w:r>
      <w:r w:rsidR="00A01E2E">
        <w:rPr>
          <w:rFonts w:ascii="宋体" w:hAnsi="宋体" w:hint="eastAsia"/>
          <w:sz w:val="24"/>
        </w:rPr>
        <w:t>罐车</w:t>
      </w:r>
      <w:r w:rsidR="003A2D83">
        <w:rPr>
          <w:rFonts w:ascii="宋体" w:hAnsi="宋体" w:hint="eastAsia"/>
          <w:sz w:val="24"/>
        </w:rPr>
        <w:t>交货</w:t>
      </w:r>
      <w:r w:rsidR="00C37E49">
        <w:rPr>
          <w:rFonts w:ascii="宋体" w:hAnsi="宋体" w:hint="eastAsia"/>
          <w:sz w:val="24"/>
        </w:rPr>
        <w:t>。</w:t>
      </w:r>
    </w:p>
    <w:sectPr w:rsidR="003A2D83" w:rsidSect="00666BD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3C" w:rsidRDefault="00B3153C" w:rsidP="0080708F">
      <w:r>
        <w:separator/>
      </w:r>
    </w:p>
  </w:endnote>
  <w:endnote w:type="continuationSeparator" w:id="0">
    <w:p w:rsidR="00B3153C" w:rsidRDefault="00B3153C" w:rsidP="0080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02823"/>
      <w:docPartObj>
        <w:docPartGallery w:val="Page Numbers (Bottom of Page)"/>
        <w:docPartUnique/>
      </w:docPartObj>
    </w:sdtPr>
    <w:sdtContent>
      <w:p w:rsidR="00666BD2" w:rsidRDefault="002A3CB7">
        <w:pPr>
          <w:pStyle w:val="a4"/>
          <w:jc w:val="center"/>
        </w:pPr>
        <w:fldSimple w:instr=" PAGE   \* MERGEFORMAT ">
          <w:r w:rsidR="002654F7" w:rsidRPr="002654F7">
            <w:rPr>
              <w:noProof/>
              <w:lang w:val="zh-CN"/>
            </w:rPr>
            <w:t>4</w:t>
          </w:r>
        </w:fldSimple>
      </w:p>
    </w:sdtContent>
  </w:sdt>
  <w:p w:rsidR="00666BD2" w:rsidRDefault="00666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3C" w:rsidRDefault="00B3153C" w:rsidP="0080708F">
      <w:r>
        <w:separator/>
      </w:r>
    </w:p>
  </w:footnote>
  <w:footnote w:type="continuationSeparator" w:id="0">
    <w:p w:rsidR="00B3153C" w:rsidRDefault="00B3153C" w:rsidP="00807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E85"/>
    <w:multiLevelType w:val="hybridMultilevel"/>
    <w:tmpl w:val="4F562528"/>
    <w:lvl w:ilvl="0" w:tplc="14B0F73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D27B6"/>
    <w:multiLevelType w:val="hybridMultilevel"/>
    <w:tmpl w:val="6DD646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34CD1"/>
    <w:multiLevelType w:val="hybridMultilevel"/>
    <w:tmpl w:val="868AD312"/>
    <w:lvl w:ilvl="0" w:tplc="751AE22E">
      <w:start w:val="1"/>
      <w:numFmt w:val="decimal"/>
      <w:lvlText w:val="%1)"/>
      <w:lvlJc w:val="left"/>
      <w:pPr>
        <w:ind w:left="420" w:hanging="420"/>
      </w:pPr>
      <w:rPr>
        <w:rFonts w:asciiTheme="minorEastAsia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F40254"/>
    <w:multiLevelType w:val="hybridMultilevel"/>
    <w:tmpl w:val="3414678C"/>
    <w:lvl w:ilvl="0" w:tplc="D922A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4E66BD"/>
    <w:multiLevelType w:val="hybridMultilevel"/>
    <w:tmpl w:val="E042F316"/>
    <w:lvl w:ilvl="0" w:tplc="E222BE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8C631B"/>
    <w:multiLevelType w:val="hybridMultilevel"/>
    <w:tmpl w:val="BD0E5C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F65441"/>
    <w:multiLevelType w:val="hybridMultilevel"/>
    <w:tmpl w:val="AECAF7B8"/>
    <w:lvl w:ilvl="0" w:tplc="DAB874C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855F2"/>
    <w:multiLevelType w:val="hybridMultilevel"/>
    <w:tmpl w:val="C0D8CC76"/>
    <w:lvl w:ilvl="0" w:tplc="D5DAB2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E947B7"/>
    <w:multiLevelType w:val="hybridMultilevel"/>
    <w:tmpl w:val="E6CEFE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08F"/>
    <w:rsid w:val="000111B2"/>
    <w:rsid w:val="00017EA9"/>
    <w:rsid w:val="000234E4"/>
    <w:rsid w:val="0002407F"/>
    <w:rsid w:val="000361E6"/>
    <w:rsid w:val="00040FFA"/>
    <w:rsid w:val="000426CF"/>
    <w:rsid w:val="000450AB"/>
    <w:rsid w:val="00046804"/>
    <w:rsid w:val="00047D11"/>
    <w:rsid w:val="00051F53"/>
    <w:rsid w:val="00053ED4"/>
    <w:rsid w:val="00060D71"/>
    <w:rsid w:val="00076FAE"/>
    <w:rsid w:val="00084F5E"/>
    <w:rsid w:val="00087EAA"/>
    <w:rsid w:val="0009170B"/>
    <w:rsid w:val="00091A9A"/>
    <w:rsid w:val="000921D6"/>
    <w:rsid w:val="000951DE"/>
    <w:rsid w:val="000A09C3"/>
    <w:rsid w:val="000A2957"/>
    <w:rsid w:val="000A2DFE"/>
    <w:rsid w:val="000B0CCD"/>
    <w:rsid w:val="000B5394"/>
    <w:rsid w:val="000B5450"/>
    <w:rsid w:val="000B549A"/>
    <w:rsid w:val="000C074B"/>
    <w:rsid w:val="000C2893"/>
    <w:rsid w:val="000C6FE6"/>
    <w:rsid w:val="000D33A9"/>
    <w:rsid w:val="000D6C80"/>
    <w:rsid w:val="000D716F"/>
    <w:rsid w:val="000E2567"/>
    <w:rsid w:val="00100295"/>
    <w:rsid w:val="00101C98"/>
    <w:rsid w:val="00105640"/>
    <w:rsid w:val="00107885"/>
    <w:rsid w:val="00113AEB"/>
    <w:rsid w:val="00115876"/>
    <w:rsid w:val="00117A5A"/>
    <w:rsid w:val="00122DE8"/>
    <w:rsid w:val="001253BF"/>
    <w:rsid w:val="0013106B"/>
    <w:rsid w:val="00136D32"/>
    <w:rsid w:val="00150177"/>
    <w:rsid w:val="00150A5A"/>
    <w:rsid w:val="001637C1"/>
    <w:rsid w:val="00163A9C"/>
    <w:rsid w:val="001650AC"/>
    <w:rsid w:val="00171497"/>
    <w:rsid w:val="001732B9"/>
    <w:rsid w:val="001740C6"/>
    <w:rsid w:val="001857B6"/>
    <w:rsid w:val="00187925"/>
    <w:rsid w:val="0019580D"/>
    <w:rsid w:val="001A1688"/>
    <w:rsid w:val="001A4A48"/>
    <w:rsid w:val="001A54B7"/>
    <w:rsid w:val="001A5DDE"/>
    <w:rsid w:val="001A5FB2"/>
    <w:rsid w:val="001B1B12"/>
    <w:rsid w:val="001D06BD"/>
    <w:rsid w:val="001D5211"/>
    <w:rsid w:val="001D5D24"/>
    <w:rsid w:val="001E123A"/>
    <w:rsid w:val="001E6547"/>
    <w:rsid w:val="001E7BC1"/>
    <w:rsid w:val="001F3361"/>
    <w:rsid w:val="00201D59"/>
    <w:rsid w:val="00206722"/>
    <w:rsid w:val="002227FB"/>
    <w:rsid w:val="00224184"/>
    <w:rsid w:val="00236644"/>
    <w:rsid w:val="00250CD4"/>
    <w:rsid w:val="0025286B"/>
    <w:rsid w:val="002545CF"/>
    <w:rsid w:val="002654F7"/>
    <w:rsid w:val="002673B6"/>
    <w:rsid w:val="002711F5"/>
    <w:rsid w:val="00271DA7"/>
    <w:rsid w:val="00275275"/>
    <w:rsid w:val="00280905"/>
    <w:rsid w:val="00290BBB"/>
    <w:rsid w:val="002926BE"/>
    <w:rsid w:val="00293463"/>
    <w:rsid w:val="0029522D"/>
    <w:rsid w:val="0029557A"/>
    <w:rsid w:val="00297C0A"/>
    <w:rsid w:val="002A3CB7"/>
    <w:rsid w:val="002C4E9D"/>
    <w:rsid w:val="002C6B66"/>
    <w:rsid w:val="002D2B6C"/>
    <w:rsid w:val="002D4C73"/>
    <w:rsid w:val="002D4E3C"/>
    <w:rsid w:val="002E5535"/>
    <w:rsid w:val="002E7DBF"/>
    <w:rsid w:val="00301F21"/>
    <w:rsid w:val="00315A48"/>
    <w:rsid w:val="00315C44"/>
    <w:rsid w:val="00316A8C"/>
    <w:rsid w:val="0032208D"/>
    <w:rsid w:val="00322290"/>
    <w:rsid w:val="00331D9B"/>
    <w:rsid w:val="00341817"/>
    <w:rsid w:val="00351E3A"/>
    <w:rsid w:val="003530C5"/>
    <w:rsid w:val="00360671"/>
    <w:rsid w:val="00362C2B"/>
    <w:rsid w:val="003647ED"/>
    <w:rsid w:val="00366D27"/>
    <w:rsid w:val="00374687"/>
    <w:rsid w:val="00383605"/>
    <w:rsid w:val="00383C86"/>
    <w:rsid w:val="00385756"/>
    <w:rsid w:val="00392D93"/>
    <w:rsid w:val="003A0F7B"/>
    <w:rsid w:val="003A2D83"/>
    <w:rsid w:val="003B1F7D"/>
    <w:rsid w:val="003B69AB"/>
    <w:rsid w:val="003C487B"/>
    <w:rsid w:val="003D05E5"/>
    <w:rsid w:val="003D40B3"/>
    <w:rsid w:val="003D61F1"/>
    <w:rsid w:val="003F4CF5"/>
    <w:rsid w:val="004010BE"/>
    <w:rsid w:val="004104F9"/>
    <w:rsid w:val="004125D6"/>
    <w:rsid w:val="00416CD7"/>
    <w:rsid w:val="0043794C"/>
    <w:rsid w:val="004429BF"/>
    <w:rsid w:val="0044346A"/>
    <w:rsid w:val="00450BC1"/>
    <w:rsid w:val="00463A95"/>
    <w:rsid w:val="00465484"/>
    <w:rsid w:val="00465C2F"/>
    <w:rsid w:val="00466CF6"/>
    <w:rsid w:val="004720CB"/>
    <w:rsid w:val="00476DFE"/>
    <w:rsid w:val="0047776B"/>
    <w:rsid w:val="00481AE3"/>
    <w:rsid w:val="004821E3"/>
    <w:rsid w:val="00487318"/>
    <w:rsid w:val="00492A2B"/>
    <w:rsid w:val="004B442F"/>
    <w:rsid w:val="004B7675"/>
    <w:rsid w:val="004D1CF2"/>
    <w:rsid w:val="004D50C2"/>
    <w:rsid w:val="004D6D39"/>
    <w:rsid w:val="004D73DF"/>
    <w:rsid w:val="004E20D4"/>
    <w:rsid w:val="004F671E"/>
    <w:rsid w:val="00500875"/>
    <w:rsid w:val="00504769"/>
    <w:rsid w:val="00511E34"/>
    <w:rsid w:val="00515527"/>
    <w:rsid w:val="00530064"/>
    <w:rsid w:val="00531FEF"/>
    <w:rsid w:val="00551EB1"/>
    <w:rsid w:val="00560254"/>
    <w:rsid w:val="0056573F"/>
    <w:rsid w:val="0056681E"/>
    <w:rsid w:val="005709A4"/>
    <w:rsid w:val="005709AD"/>
    <w:rsid w:val="0057132E"/>
    <w:rsid w:val="00571FDD"/>
    <w:rsid w:val="00573D59"/>
    <w:rsid w:val="00574509"/>
    <w:rsid w:val="00577E6E"/>
    <w:rsid w:val="00580521"/>
    <w:rsid w:val="0059689B"/>
    <w:rsid w:val="005A0C6E"/>
    <w:rsid w:val="005A16B8"/>
    <w:rsid w:val="005A7B18"/>
    <w:rsid w:val="005B0299"/>
    <w:rsid w:val="005C2136"/>
    <w:rsid w:val="005C4C44"/>
    <w:rsid w:val="005C615F"/>
    <w:rsid w:val="005C73A4"/>
    <w:rsid w:val="005D2593"/>
    <w:rsid w:val="005D5294"/>
    <w:rsid w:val="005E37A3"/>
    <w:rsid w:val="005E57F3"/>
    <w:rsid w:val="005E6DC3"/>
    <w:rsid w:val="005F0EF4"/>
    <w:rsid w:val="005F5769"/>
    <w:rsid w:val="005F6464"/>
    <w:rsid w:val="005F6C64"/>
    <w:rsid w:val="00611D28"/>
    <w:rsid w:val="00614476"/>
    <w:rsid w:val="00620A6A"/>
    <w:rsid w:val="0062671E"/>
    <w:rsid w:val="006346F3"/>
    <w:rsid w:val="00636F52"/>
    <w:rsid w:val="00637BAD"/>
    <w:rsid w:val="0064293F"/>
    <w:rsid w:val="00644802"/>
    <w:rsid w:val="0065282A"/>
    <w:rsid w:val="00653481"/>
    <w:rsid w:val="006652EE"/>
    <w:rsid w:val="00666BD2"/>
    <w:rsid w:val="006724B3"/>
    <w:rsid w:val="006740BB"/>
    <w:rsid w:val="006759A2"/>
    <w:rsid w:val="00677757"/>
    <w:rsid w:val="0068154E"/>
    <w:rsid w:val="0068574D"/>
    <w:rsid w:val="00686BF3"/>
    <w:rsid w:val="00687057"/>
    <w:rsid w:val="006931A1"/>
    <w:rsid w:val="006944C7"/>
    <w:rsid w:val="006A791E"/>
    <w:rsid w:val="006B5D13"/>
    <w:rsid w:val="006C13DD"/>
    <w:rsid w:val="006C64BC"/>
    <w:rsid w:val="006D7F2E"/>
    <w:rsid w:val="006E3C97"/>
    <w:rsid w:val="006E4209"/>
    <w:rsid w:val="006E79D7"/>
    <w:rsid w:val="006F0581"/>
    <w:rsid w:val="00701C90"/>
    <w:rsid w:val="00704229"/>
    <w:rsid w:val="00704881"/>
    <w:rsid w:val="00713099"/>
    <w:rsid w:val="007136A0"/>
    <w:rsid w:val="00714B20"/>
    <w:rsid w:val="00716E23"/>
    <w:rsid w:val="00717E04"/>
    <w:rsid w:val="00724777"/>
    <w:rsid w:val="007263E3"/>
    <w:rsid w:val="00727BD5"/>
    <w:rsid w:val="0073091E"/>
    <w:rsid w:val="007476ED"/>
    <w:rsid w:val="007509E3"/>
    <w:rsid w:val="00751B11"/>
    <w:rsid w:val="007550DC"/>
    <w:rsid w:val="007702C5"/>
    <w:rsid w:val="00770443"/>
    <w:rsid w:val="007715D8"/>
    <w:rsid w:val="0077724D"/>
    <w:rsid w:val="007811CF"/>
    <w:rsid w:val="00794573"/>
    <w:rsid w:val="00795230"/>
    <w:rsid w:val="007A368F"/>
    <w:rsid w:val="007A5930"/>
    <w:rsid w:val="007B12EA"/>
    <w:rsid w:val="007B557E"/>
    <w:rsid w:val="007B67F8"/>
    <w:rsid w:val="007B7646"/>
    <w:rsid w:val="007C3319"/>
    <w:rsid w:val="007C596E"/>
    <w:rsid w:val="007D5E4C"/>
    <w:rsid w:val="007F02D6"/>
    <w:rsid w:val="007F185F"/>
    <w:rsid w:val="007F2EA0"/>
    <w:rsid w:val="007F4D55"/>
    <w:rsid w:val="007F57ED"/>
    <w:rsid w:val="007F7F48"/>
    <w:rsid w:val="0080708F"/>
    <w:rsid w:val="00807093"/>
    <w:rsid w:val="00810C78"/>
    <w:rsid w:val="00820158"/>
    <w:rsid w:val="00823EDC"/>
    <w:rsid w:val="0082534F"/>
    <w:rsid w:val="008279FD"/>
    <w:rsid w:val="00827C2D"/>
    <w:rsid w:val="008367DE"/>
    <w:rsid w:val="00857F28"/>
    <w:rsid w:val="00865E0B"/>
    <w:rsid w:val="00871399"/>
    <w:rsid w:val="0087476B"/>
    <w:rsid w:val="00880278"/>
    <w:rsid w:val="0089672D"/>
    <w:rsid w:val="008B012E"/>
    <w:rsid w:val="008B1994"/>
    <w:rsid w:val="008C0701"/>
    <w:rsid w:val="008C7E51"/>
    <w:rsid w:val="008D171A"/>
    <w:rsid w:val="008D50CC"/>
    <w:rsid w:val="008D698B"/>
    <w:rsid w:val="008E66E6"/>
    <w:rsid w:val="008F4B3F"/>
    <w:rsid w:val="009004AE"/>
    <w:rsid w:val="00901684"/>
    <w:rsid w:val="009026CE"/>
    <w:rsid w:val="00905935"/>
    <w:rsid w:val="009128FB"/>
    <w:rsid w:val="00925FC4"/>
    <w:rsid w:val="00926E64"/>
    <w:rsid w:val="00927234"/>
    <w:rsid w:val="00943D5B"/>
    <w:rsid w:val="00956BD2"/>
    <w:rsid w:val="00960081"/>
    <w:rsid w:val="009628FD"/>
    <w:rsid w:val="00967995"/>
    <w:rsid w:val="00972EF4"/>
    <w:rsid w:val="009C1AB6"/>
    <w:rsid w:val="009C1E5D"/>
    <w:rsid w:val="009C33BA"/>
    <w:rsid w:val="009C72B8"/>
    <w:rsid w:val="009D4647"/>
    <w:rsid w:val="009E0FE0"/>
    <w:rsid w:val="009E6EAD"/>
    <w:rsid w:val="009F039E"/>
    <w:rsid w:val="009F6871"/>
    <w:rsid w:val="009F7765"/>
    <w:rsid w:val="00A01E2E"/>
    <w:rsid w:val="00A0359A"/>
    <w:rsid w:val="00A05AF5"/>
    <w:rsid w:val="00A10993"/>
    <w:rsid w:val="00A12AB3"/>
    <w:rsid w:val="00A14E83"/>
    <w:rsid w:val="00A15165"/>
    <w:rsid w:val="00A32A12"/>
    <w:rsid w:val="00A33D69"/>
    <w:rsid w:val="00A35EAD"/>
    <w:rsid w:val="00A4225E"/>
    <w:rsid w:val="00A50EFA"/>
    <w:rsid w:val="00A55144"/>
    <w:rsid w:val="00A8153F"/>
    <w:rsid w:val="00A862DB"/>
    <w:rsid w:val="00A866D5"/>
    <w:rsid w:val="00A912B0"/>
    <w:rsid w:val="00A96C61"/>
    <w:rsid w:val="00AA2AD1"/>
    <w:rsid w:val="00AC1B77"/>
    <w:rsid w:val="00AC4235"/>
    <w:rsid w:val="00AC5B3D"/>
    <w:rsid w:val="00AC6DA2"/>
    <w:rsid w:val="00AD01BD"/>
    <w:rsid w:val="00AD490B"/>
    <w:rsid w:val="00AD56DC"/>
    <w:rsid w:val="00AF0F9F"/>
    <w:rsid w:val="00AF1AB3"/>
    <w:rsid w:val="00AF42A6"/>
    <w:rsid w:val="00AF449D"/>
    <w:rsid w:val="00AF4F0A"/>
    <w:rsid w:val="00AF51A3"/>
    <w:rsid w:val="00AF63B8"/>
    <w:rsid w:val="00B05116"/>
    <w:rsid w:val="00B15C49"/>
    <w:rsid w:val="00B2014D"/>
    <w:rsid w:val="00B21DC8"/>
    <w:rsid w:val="00B30D05"/>
    <w:rsid w:val="00B3153C"/>
    <w:rsid w:val="00B33EE0"/>
    <w:rsid w:val="00B34DD6"/>
    <w:rsid w:val="00B45538"/>
    <w:rsid w:val="00B45916"/>
    <w:rsid w:val="00B4685A"/>
    <w:rsid w:val="00B5274B"/>
    <w:rsid w:val="00B52C45"/>
    <w:rsid w:val="00B5798A"/>
    <w:rsid w:val="00B57DDE"/>
    <w:rsid w:val="00B606C7"/>
    <w:rsid w:val="00B662E8"/>
    <w:rsid w:val="00B762D0"/>
    <w:rsid w:val="00B80E75"/>
    <w:rsid w:val="00B840C8"/>
    <w:rsid w:val="00B86D29"/>
    <w:rsid w:val="00B90DC3"/>
    <w:rsid w:val="00B95734"/>
    <w:rsid w:val="00BA0994"/>
    <w:rsid w:val="00BB4014"/>
    <w:rsid w:val="00BB5165"/>
    <w:rsid w:val="00BB60FA"/>
    <w:rsid w:val="00BC4094"/>
    <w:rsid w:val="00BC447F"/>
    <w:rsid w:val="00BD1F04"/>
    <w:rsid w:val="00BD207D"/>
    <w:rsid w:val="00BD2A38"/>
    <w:rsid w:val="00BD654A"/>
    <w:rsid w:val="00BE03FE"/>
    <w:rsid w:val="00BE1708"/>
    <w:rsid w:val="00BE2FFE"/>
    <w:rsid w:val="00BE3BB8"/>
    <w:rsid w:val="00BE7131"/>
    <w:rsid w:val="00BF0C31"/>
    <w:rsid w:val="00BF6121"/>
    <w:rsid w:val="00C001B2"/>
    <w:rsid w:val="00C03D6A"/>
    <w:rsid w:val="00C10DD2"/>
    <w:rsid w:val="00C126B8"/>
    <w:rsid w:val="00C20A1C"/>
    <w:rsid w:val="00C2469A"/>
    <w:rsid w:val="00C25EE2"/>
    <w:rsid w:val="00C37E49"/>
    <w:rsid w:val="00C42657"/>
    <w:rsid w:val="00C42AA6"/>
    <w:rsid w:val="00C4322A"/>
    <w:rsid w:val="00C4354D"/>
    <w:rsid w:val="00C67BAD"/>
    <w:rsid w:val="00C84204"/>
    <w:rsid w:val="00C9563D"/>
    <w:rsid w:val="00CA16DC"/>
    <w:rsid w:val="00CA1C5F"/>
    <w:rsid w:val="00CA26BB"/>
    <w:rsid w:val="00CA6A7E"/>
    <w:rsid w:val="00CA6B17"/>
    <w:rsid w:val="00CB32DD"/>
    <w:rsid w:val="00CC5124"/>
    <w:rsid w:val="00CD4FA1"/>
    <w:rsid w:val="00CD538C"/>
    <w:rsid w:val="00CE20D1"/>
    <w:rsid w:val="00CE458E"/>
    <w:rsid w:val="00CF5BC8"/>
    <w:rsid w:val="00CF7CC5"/>
    <w:rsid w:val="00D12ACD"/>
    <w:rsid w:val="00D15DDF"/>
    <w:rsid w:val="00D171A1"/>
    <w:rsid w:val="00D2181B"/>
    <w:rsid w:val="00D25B30"/>
    <w:rsid w:val="00D30934"/>
    <w:rsid w:val="00D30C68"/>
    <w:rsid w:val="00D358C9"/>
    <w:rsid w:val="00D42E7A"/>
    <w:rsid w:val="00D6527A"/>
    <w:rsid w:val="00D6695F"/>
    <w:rsid w:val="00D6712E"/>
    <w:rsid w:val="00D813E6"/>
    <w:rsid w:val="00D81951"/>
    <w:rsid w:val="00D8386F"/>
    <w:rsid w:val="00D8390F"/>
    <w:rsid w:val="00D8577E"/>
    <w:rsid w:val="00D86551"/>
    <w:rsid w:val="00D94161"/>
    <w:rsid w:val="00D9499D"/>
    <w:rsid w:val="00DA1F05"/>
    <w:rsid w:val="00DA28E1"/>
    <w:rsid w:val="00DA3D20"/>
    <w:rsid w:val="00DB2DB3"/>
    <w:rsid w:val="00DB5A9F"/>
    <w:rsid w:val="00DC2E11"/>
    <w:rsid w:val="00DD24A7"/>
    <w:rsid w:val="00DD62BD"/>
    <w:rsid w:val="00DD67E8"/>
    <w:rsid w:val="00DE0FDC"/>
    <w:rsid w:val="00DE4DAF"/>
    <w:rsid w:val="00DE4ED0"/>
    <w:rsid w:val="00DE52CE"/>
    <w:rsid w:val="00DF4D8C"/>
    <w:rsid w:val="00E02A8B"/>
    <w:rsid w:val="00E12C8E"/>
    <w:rsid w:val="00E13FF5"/>
    <w:rsid w:val="00E21611"/>
    <w:rsid w:val="00E31AE1"/>
    <w:rsid w:val="00E32911"/>
    <w:rsid w:val="00E336AE"/>
    <w:rsid w:val="00E33C5A"/>
    <w:rsid w:val="00E35DE0"/>
    <w:rsid w:val="00E363BD"/>
    <w:rsid w:val="00E37C0A"/>
    <w:rsid w:val="00E41F1B"/>
    <w:rsid w:val="00E4468F"/>
    <w:rsid w:val="00E4768F"/>
    <w:rsid w:val="00E51AFC"/>
    <w:rsid w:val="00E552EC"/>
    <w:rsid w:val="00E60B35"/>
    <w:rsid w:val="00E64A62"/>
    <w:rsid w:val="00E705F0"/>
    <w:rsid w:val="00E716C9"/>
    <w:rsid w:val="00E72494"/>
    <w:rsid w:val="00E82125"/>
    <w:rsid w:val="00E822A6"/>
    <w:rsid w:val="00E8683B"/>
    <w:rsid w:val="00E87812"/>
    <w:rsid w:val="00E9208D"/>
    <w:rsid w:val="00E93961"/>
    <w:rsid w:val="00E964DE"/>
    <w:rsid w:val="00EA64C6"/>
    <w:rsid w:val="00EB02DF"/>
    <w:rsid w:val="00ED14B6"/>
    <w:rsid w:val="00EE1B68"/>
    <w:rsid w:val="00EE1C10"/>
    <w:rsid w:val="00EE406B"/>
    <w:rsid w:val="00EE543B"/>
    <w:rsid w:val="00EE6EEB"/>
    <w:rsid w:val="00EF128B"/>
    <w:rsid w:val="00F021EA"/>
    <w:rsid w:val="00F04586"/>
    <w:rsid w:val="00F061A3"/>
    <w:rsid w:val="00F12581"/>
    <w:rsid w:val="00F16578"/>
    <w:rsid w:val="00F2256C"/>
    <w:rsid w:val="00F225A6"/>
    <w:rsid w:val="00F313A4"/>
    <w:rsid w:val="00F31B79"/>
    <w:rsid w:val="00F3504A"/>
    <w:rsid w:val="00F435AB"/>
    <w:rsid w:val="00F47646"/>
    <w:rsid w:val="00F5224E"/>
    <w:rsid w:val="00F532BC"/>
    <w:rsid w:val="00F542D0"/>
    <w:rsid w:val="00F566AF"/>
    <w:rsid w:val="00F57376"/>
    <w:rsid w:val="00F60D0D"/>
    <w:rsid w:val="00F61D55"/>
    <w:rsid w:val="00F653AE"/>
    <w:rsid w:val="00F67865"/>
    <w:rsid w:val="00F745DD"/>
    <w:rsid w:val="00F80A64"/>
    <w:rsid w:val="00F82EBD"/>
    <w:rsid w:val="00F84406"/>
    <w:rsid w:val="00F9295D"/>
    <w:rsid w:val="00F9796C"/>
    <w:rsid w:val="00FC2E6E"/>
    <w:rsid w:val="00FC2F37"/>
    <w:rsid w:val="00FC3AAE"/>
    <w:rsid w:val="00FC56AA"/>
    <w:rsid w:val="00FC5DDC"/>
    <w:rsid w:val="00FE2FC6"/>
    <w:rsid w:val="00FE6D15"/>
    <w:rsid w:val="00FF4122"/>
    <w:rsid w:val="00FF4344"/>
    <w:rsid w:val="00FF4F72"/>
    <w:rsid w:val="00FF50CB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A2D83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08F"/>
    <w:rPr>
      <w:sz w:val="18"/>
      <w:szCs w:val="18"/>
    </w:rPr>
  </w:style>
  <w:style w:type="paragraph" w:customStyle="1" w:styleId="WB">
    <w:name w:val="WB正文"/>
    <w:rsid w:val="0080708F"/>
    <w:pPr>
      <w:spacing w:line="4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52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522D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3A2D83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6">
    <w:name w:val="List Paragraph"/>
    <w:basedOn w:val="a"/>
    <w:qFormat/>
    <w:rsid w:val="003A2D83"/>
    <w:pPr>
      <w:ind w:firstLineChars="200" w:firstLine="420"/>
    </w:pPr>
  </w:style>
  <w:style w:type="paragraph" w:styleId="a7">
    <w:name w:val="Body Text"/>
    <w:basedOn w:val="a"/>
    <w:link w:val="Char2"/>
    <w:rsid w:val="003A2D83"/>
    <w:pPr>
      <w:spacing w:after="120"/>
    </w:pPr>
    <w:rPr>
      <w:szCs w:val="20"/>
    </w:rPr>
  </w:style>
  <w:style w:type="character" w:customStyle="1" w:styleId="Char2">
    <w:name w:val="正文文本 Char"/>
    <w:basedOn w:val="a0"/>
    <w:link w:val="a7"/>
    <w:rsid w:val="003A2D83"/>
    <w:rPr>
      <w:rFonts w:ascii="Calibri" w:eastAsia="宋体" w:hAnsi="Calibri" w:cs="Times New Roman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7476ED"/>
  </w:style>
  <w:style w:type="character" w:styleId="a8">
    <w:name w:val="Hyperlink"/>
    <w:basedOn w:val="a0"/>
    <w:uiPriority w:val="99"/>
    <w:unhideWhenUsed/>
    <w:rsid w:val="007476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07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B0D4-8284-42C3-A13F-9242C9F6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492</Words>
  <Characters>2806</Characters>
  <Application>Microsoft Office Word</Application>
  <DocSecurity>0</DocSecurity>
  <Lines>23</Lines>
  <Paragraphs>6</Paragraphs>
  <ScaleCrop>false</ScaleCrop>
  <Company>微软中国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2018-10-25T05:40:00Z</cp:lastPrinted>
  <dcterms:created xsi:type="dcterms:W3CDTF">2016-03-01T07:43:00Z</dcterms:created>
  <dcterms:modified xsi:type="dcterms:W3CDTF">2019-04-11T02:20:00Z</dcterms:modified>
</cp:coreProperties>
</file>