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spacing w:line="360" w:lineRule="auto"/>
        <w:ind w:firstLine="480" w:firstLineChars="200"/>
        <w:jc w:val="left"/>
        <w:rPr>
          <w:rFonts w:hint="eastAsia" w:hAnsi="宋体"/>
          <w:color w:val="000000"/>
          <w:sz w:val="24"/>
          <w:szCs w:val="24"/>
          <w:lang w:val="en-US" w:eastAsia="zh-CN"/>
        </w:rPr>
      </w:pPr>
      <w:r>
        <w:rPr>
          <w:rFonts w:hint="eastAsia" w:hAnsi="宋体"/>
          <w:color w:val="000000"/>
          <w:sz w:val="24"/>
          <w:szCs w:val="24"/>
          <w:lang w:val="en-US" w:eastAsia="zh-CN"/>
        </w:rPr>
        <w:t>附件1</w:t>
      </w:r>
    </w:p>
    <w:p>
      <w:pPr>
        <w:adjustRightInd w:val="0"/>
        <w:snapToGrid w:val="0"/>
        <w:spacing w:line="360" w:lineRule="auto"/>
        <w:ind w:firstLine="482" w:firstLineChars="200"/>
        <w:jc w:val="center"/>
        <w:rPr>
          <w:rFonts w:hint="eastAsia" w:hAnsi="宋体"/>
          <w:b/>
          <w:bCs/>
          <w:color w:val="000000"/>
          <w:sz w:val="24"/>
        </w:rPr>
      </w:pPr>
      <w:r>
        <w:rPr>
          <w:rFonts w:hAnsi="宋体"/>
          <w:b/>
          <w:bCs/>
          <w:color w:val="000000"/>
          <w:sz w:val="24"/>
        </w:rPr>
        <w:t>项目环评</w:t>
      </w:r>
      <w:r>
        <w:rPr>
          <w:rFonts w:hint="eastAsia" w:hAnsi="宋体"/>
          <w:b/>
          <w:bCs/>
          <w:color w:val="000000"/>
          <w:sz w:val="24"/>
        </w:rPr>
        <w:t>2017年7月土壤监测情况</w:t>
      </w:r>
    </w:p>
    <w:p>
      <w:pPr>
        <w:adjustRightInd w:val="0"/>
        <w:snapToGrid w:val="0"/>
        <w:spacing w:line="360" w:lineRule="auto"/>
        <w:ind w:firstLine="480" w:firstLineChars="200"/>
        <w:rPr>
          <w:color w:val="000000"/>
          <w:sz w:val="24"/>
        </w:rPr>
      </w:pPr>
      <w:r>
        <w:rPr>
          <w:rFonts w:hint="eastAsia" w:hAnsi="宋体"/>
          <w:color w:val="000000"/>
          <w:sz w:val="24"/>
        </w:rPr>
        <w:t>2017年7月已在拟建项目厂区、现有工程厂区及周围布设</w:t>
      </w:r>
      <w:r>
        <w:rPr>
          <w:color w:val="000000"/>
          <w:sz w:val="24"/>
        </w:rPr>
        <w:t>8</w:t>
      </w:r>
      <w:r>
        <w:rPr>
          <w:rFonts w:hint="eastAsia" w:hAnsi="宋体"/>
          <w:color w:val="000000"/>
          <w:sz w:val="24"/>
        </w:rPr>
        <w:t>个土壤监测点。具体监测点位及监测内容表</w:t>
      </w:r>
      <w:r>
        <w:rPr>
          <w:rFonts w:hint="eastAsia"/>
          <w:color w:val="000000"/>
          <w:sz w:val="24"/>
        </w:rPr>
        <w:t>1及图1</w:t>
      </w:r>
      <w:r>
        <w:rPr>
          <w:rFonts w:hint="eastAsia" w:hAnsi="宋体"/>
          <w:color w:val="000000"/>
          <w:sz w:val="24"/>
        </w:rPr>
        <w:t>。</w:t>
      </w:r>
      <w:bookmarkStart w:id="1" w:name="_GoBack"/>
      <w:bookmarkEnd w:id="1"/>
    </w:p>
    <w:p>
      <w:pPr>
        <w:adjustRightInd w:val="0"/>
        <w:snapToGrid w:val="0"/>
        <w:spacing w:line="360" w:lineRule="auto"/>
        <w:rPr>
          <w:color w:val="000000"/>
          <w:sz w:val="24"/>
        </w:rPr>
      </w:pPr>
      <w:r>
        <w:rPr>
          <w:rFonts w:hint="eastAsia" w:hAnsi="宋体"/>
          <w:color w:val="000000"/>
          <w:sz w:val="24"/>
        </w:rPr>
        <w:t>表</w:t>
      </w:r>
      <w:r>
        <w:rPr>
          <w:rFonts w:hint="eastAsia"/>
          <w:color w:val="000000"/>
          <w:sz w:val="24"/>
        </w:rPr>
        <w:t xml:space="preserve">1 </w:t>
      </w:r>
      <w:r>
        <w:rPr>
          <w:color w:val="000000"/>
          <w:sz w:val="24"/>
        </w:rPr>
        <w:t xml:space="preserve">                </w:t>
      </w:r>
      <w:r>
        <w:rPr>
          <w:rFonts w:hint="eastAsia" w:hAnsi="宋体"/>
          <w:color w:val="000000"/>
          <w:sz w:val="24"/>
        </w:rPr>
        <w:t>土壤监测点位及监测内容</w:t>
      </w:r>
    </w:p>
    <w:tbl>
      <w:tblPr>
        <w:tblStyle w:val="9"/>
        <w:tblW w:w="8522" w:type="dxa"/>
        <w:jc w:val="center"/>
        <w:tblInd w:w="0" w:type="dxa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6" w:space="0"/>
          <w:insideV w:val="single" w:color="auto" w:sz="6" w:space="0"/>
        </w:tblBorders>
        <w:tblLayout w:type="fixed"/>
        <w:tblCellMar>
          <w:top w:w="28" w:type="dxa"/>
          <w:left w:w="108" w:type="dxa"/>
          <w:bottom w:w="28" w:type="dxa"/>
          <w:right w:w="108" w:type="dxa"/>
        </w:tblCellMar>
      </w:tblPr>
      <w:tblGrid>
        <w:gridCol w:w="675"/>
        <w:gridCol w:w="3707"/>
        <w:gridCol w:w="4140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Layout w:type="fixed"/>
          <w:tblCellMar>
            <w:top w:w="28" w:type="dxa"/>
            <w:left w:w="108" w:type="dxa"/>
            <w:bottom w:w="28" w:type="dxa"/>
            <w:right w:w="108" w:type="dxa"/>
          </w:tblCellMar>
        </w:tblPrEx>
        <w:trPr>
          <w:cantSplit/>
          <w:trHeight w:val="340" w:hRule="atLeast"/>
          <w:tblHeader/>
          <w:jc w:val="center"/>
        </w:trPr>
        <w:tc>
          <w:tcPr>
            <w:tcW w:w="675" w:type="dxa"/>
            <w:tcBorders>
              <w:top w:val="single" w:color="auto" w:sz="12" w:space="0"/>
            </w:tcBorders>
            <w:vAlign w:val="center"/>
          </w:tcPr>
          <w:p>
            <w:pPr>
              <w:snapToGrid w:val="0"/>
              <w:jc w:val="center"/>
              <w:rPr>
                <w:bCs/>
                <w:szCs w:val="21"/>
              </w:rPr>
            </w:pPr>
            <w:r>
              <w:rPr>
                <w:rFonts w:hint="eastAsia" w:hAnsi="宋体"/>
                <w:bCs/>
                <w:szCs w:val="21"/>
              </w:rPr>
              <w:t>序号</w:t>
            </w:r>
          </w:p>
        </w:tc>
        <w:tc>
          <w:tcPr>
            <w:tcW w:w="3707" w:type="dxa"/>
            <w:tcBorders>
              <w:top w:val="single" w:color="auto" w:sz="12" w:space="0"/>
            </w:tcBorders>
            <w:vAlign w:val="center"/>
          </w:tcPr>
          <w:p>
            <w:pPr>
              <w:snapToGrid w:val="0"/>
              <w:jc w:val="center"/>
              <w:rPr>
                <w:bCs/>
                <w:szCs w:val="21"/>
              </w:rPr>
            </w:pPr>
            <w:r>
              <w:rPr>
                <w:rFonts w:hint="eastAsia" w:hAnsi="宋体"/>
                <w:bCs/>
                <w:szCs w:val="21"/>
              </w:rPr>
              <w:t>点位</w:t>
            </w:r>
          </w:p>
        </w:tc>
        <w:tc>
          <w:tcPr>
            <w:tcW w:w="4140" w:type="dxa"/>
            <w:tcBorders>
              <w:top w:val="single" w:color="auto" w:sz="12" w:space="0"/>
            </w:tcBorders>
            <w:vAlign w:val="center"/>
          </w:tcPr>
          <w:p>
            <w:pPr>
              <w:snapToGrid w:val="0"/>
              <w:jc w:val="center"/>
              <w:rPr>
                <w:bCs/>
                <w:szCs w:val="21"/>
              </w:rPr>
            </w:pPr>
            <w:r>
              <w:rPr>
                <w:rFonts w:hint="eastAsia" w:hAnsi="宋体"/>
                <w:bCs/>
                <w:szCs w:val="21"/>
              </w:rPr>
              <w:t>监测内容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Layout w:type="fixed"/>
          <w:tblCellMar>
            <w:top w:w="28" w:type="dxa"/>
            <w:left w:w="108" w:type="dxa"/>
            <w:bottom w:w="28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675" w:type="dxa"/>
            <w:vAlign w:val="center"/>
          </w:tcPr>
          <w:p>
            <w:pPr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3707" w:type="dxa"/>
            <w:vAlign w:val="center"/>
          </w:tcPr>
          <w:p>
            <w:pPr>
              <w:snapToGrid w:val="0"/>
              <w:jc w:val="center"/>
              <w:rPr>
                <w:szCs w:val="21"/>
              </w:rPr>
            </w:pPr>
            <w:r>
              <w:rPr>
                <w:rFonts w:hint="eastAsia" w:hAnsi="宋体"/>
                <w:szCs w:val="21"/>
              </w:rPr>
              <w:t>一期项目厂区内设置</w:t>
            </w:r>
            <w:r>
              <w:rPr>
                <w:szCs w:val="21"/>
              </w:rPr>
              <w:t>3</w:t>
            </w:r>
            <w:r>
              <w:rPr>
                <w:rFonts w:hint="eastAsia" w:hAnsi="宋体"/>
                <w:szCs w:val="21"/>
              </w:rPr>
              <w:t>个监测点（1#和2#点位，7#点位）</w:t>
            </w:r>
          </w:p>
        </w:tc>
        <w:tc>
          <w:tcPr>
            <w:tcW w:w="4140" w:type="dxa"/>
            <w:vMerge w:val="restart"/>
            <w:vAlign w:val="center"/>
          </w:tcPr>
          <w:p>
            <w:pPr>
              <w:snapToGrid w:val="0"/>
              <w:jc w:val="left"/>
              <w:rPr>
                <w:color w:val="FF0000"/>
                <w:szCs w:val="21"/>
              </w:rPr>
            </w:pPr>
            <w:r>
              <w:rPr>
                <w:szCs w:val="21"/>
              </w:rPr>
              <w:t>pH</w:t>
            </w:r>
            <w:r>
              <w:rPr>
                <w:rFonts w:hint="eastAsia" w:hAnsi="宋体"/>
                <w:szCs w:val="21"/>
              </w:rPr>
              <w:t>、砷、汞、铬、铅、镉、铜、镍、锌、石油烃、苯、甲苯、二甲苯、酚、氰化物、</w:t>
            </w:r>
            <w:r>
              <w:rPr>
                <w:szCs w:val="21"/>
              </w:rPr>
              <w:t>VOCs</w:t>
            </w:r>
            <w:r>
              <w:rPr>
                <w:rFonts w:hint="eastAsia" w:hAnsi="宋体"/>
                <w:szCs w:val="21"/>
              </w:rPr>
              <w:t>、苯并</w:t>
            </w:r>
            <w:r>
              <w:rPr>
                <w:szCs w:val="21"/>
              </w:rPr>
              <w:t>[a]</w:t>
            </w:r>
            <w:r>
              <w:rPr>
                <w:rFonts w:hint="eastAsia" w:hAnsi="宋体"/>
                <w:szCs w:val="21"/>
              </w:rPr>
              <w:t>芘、二噁英、氟化物。各监测点监测一次。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Layout w:type="fixed"/>
          <w:tblCellMar>
            <w:top w:w="28" w:type="dxa"/>
            <w:left w:w="108" w:type="dxa"/>
            <w:bottom w:w="28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675" w:type="dxa"/>
            <w:vAlign w:val="center"/>
          </w:tcPr>
          <w:p>
            <w:pPr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3707" w:type="dxa"/>
            <w:vAlign w:val="center"/>
          </w:tcPr>
          <w:p>
            <w:pPr>
              <w:snapToGrid w:val="0"/>
              <w:jc w:val="center"/>
              <w:rPr>
                <w:szCs w:val="21"/>
              </w:rPr>
            </w:pPr>
            <w:r>
              <w:rPr>
                <w:rFonts w:hint="eastAsia" w:hAnsi="宋体"/>
                <w:szCs w:val="21"/>
              </w:rPr>
              <w:t>二期项目厂区内设置</w:t>
            </w:r>
            <w:r>
              <w:rPr>
                <w:szCs w:val="21"/>
              </w:rPr>
              <w:t>4</w:t>
            </w:r>
            <w:r>
              <w:rPr>
                <w:rFonts w:hint="eastAsia" w:hAnsi="宋体"/>
                <w:szCs w:val="21"/>
              </w:rPr>
              <w:t>个监测点（3#~6#）</w:t>
            </w:r>
          </w:p>
        </w:tc>
        <w:tc>
          <w:tcPr>
            <w:tcW w:w="4140" w:type="dxa"/>
            <w:vMerge w:val="continue"/>
            <w:vAlign w:val="center"/>
          </w:tcPr>
          <w:p>
            <w:pPr>
              <w:snapToGrid w:val="0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6" w:space="0"/>
            <w:insideV w:val="single" w:color="auto" w:sz="6" w:space="0"/>
          </w:tblBorders>
          <w:tblLayout w:type="fixed"/>
          <w:tblCellMar>
            <w:top w:w="28" w:type="dxa"/>
            <w:left w:w="108" w:type="dxa"/>
            <w:bottom w:w="28" w:type="dxa"/>
            <w:right w:w="108" w:type="dxa"/>
          </w:tblCellMar>
        </w:tblPrEx>
        <w:trPr>
          <w:cantSplit/>
          <w:trHeight w:val="340" w:hRule="atLeast"/>
          <w:jc w:val="center"/>
        </w:trPr>
        <w:tc>
          <w:tcPr>
            <w:tcW w:w="675" w:type="dxa"/>
            <w:tcBorders>
              <w:bottom w:val="single" w:color="auto" w:sz="12" w:space="0"/>
            </w:tcBorders>
            <w:vAlign w:val="center"/>
          </w:tcPr>
          <w:p>
            <w:pPr>
              <w:snapToGrid w:val="0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3707" w:type="dxa"/>
            <w:tcBorders>
              <w:bottom w:val="single" w:color="auto" w:sz="12" w:space="0"/>
            </w:tcBorders>
            <w:vAlign w:val="center"/>
          </w:tcPr>
          <w:p>
            <w:pPr>
              <w:snapToGrid w:val="0"/>
              <w:jc w:val="center"/>
              <w:rPr>
                <w:szCs w:val="21"/>
              </w:rPr>
            </w:pPr>
            <w:r>
              <w:rPr>
                <w:rFonts w:hint="eastAsia" w:hAnsi="宋体"/>
                <w:szCs w:val="21"/>
              </w:rPr>
              <w:t>二期项目厂区外农田设置</w:t>
            </w:r>
            <w:r>
              <w:rPr>
                <w:szCs w:val="21"/>
              </w:rPr>
              <w:t>1</w:t>
            </w:r>
            <w:r>
              <w:rPr>
                <w:rFonts w:hint="eastAsia" w:hAnsi="宋体"/>
                <w:szCs w:val="21"/>
              </w:rPr>
              <w:t>个监测点（8#点）</w:t>
            </w:r>
          </w:p>
        </w:tc>
        <w:tc>
          <w:tcPr>
            <w:tcW w:w="4140" w:type="dxa"/>
            <w:vMerge w:val="continue"/>
            <w:tcBorders>
              <w:bottom w:val="single" w:color="auto" w:sz="12" w:space="0"/>
            </w:tcBorders>
            <w:vAlign w:val="center"/>
          </w:tcPr>
          <w:p>
            <w:pPr>
              <w:snapToGrid w:val="0"/>
              <w:jc w:val="center"/>
              <w:rPr>
                <w:szCs w:val="21"/>
              </w:rPr>
            </w:pPr>
          </w:p>
        </w:tc>
      </w:tr>
    </w:tbl>
    <w:p>
      <w:pPr>
        <w:adjustRightInd w:val="0"/>
        <w:spacing w:line="360" w:lineRule="auto"/>
        <w:rPr>
          <w:b/>
          <w:sz w:val="24"/>
        </w:rPr>
      </w:pPr>
      <w:r>
        <w:rPr>
          <w:rFonts w:hint="eastAsia"/>
          <w:b/>
          <w:sz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161925</wp:posOffset>
            </wp:positionV>
            <wp:extent cx="5274310" cy="2857500"/>
            <wp:effectExtent l="19050" t="0" r="2540" b="0"/>
            <wp:wrapNone/>
            <wp:docPr id="1" name="图片 1" descr="C:\Users\h1953wq\AppData\Local\Temp\WeChat Files\6803374261957591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h1953wq\AppData\Local\Temp\WeChat Files\680337426195759140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adjustRightInd w:val="0"/>
        <w:spacing w:line="360" w:lineRule="auto"/>
        <w:rPr>
          <w:b/>
          <w:sz w:val="24"/>
        </w:rPr>
      </w:pPr>
    </w:p>
    <w:p>
      <w:pPr>
        <w:adjustRightInd w:val="0"/>
        <w:spacing w:line="360" w:lineRule="auto"/>
        <w:rPr>
          <w:b/>
          <w:sz w:val="24"/>
        </w:rPr>
      </w:pPr>
    </w:p>
    <w:p>
      <w:pPr>
        <w:adjustRightInd w:val="0"/>
        <w:spacing w:line="360" w:lineRule="auto"/>
        <w:rPr>
          <w:b/>
          <w:sz w:val="24"/>
        </w:rPr>
      </w:pPr>
    </w:p>
    <w:p>
      <w:pPr>
        <w:adjustRightInd w:val="0"/>
        <w:spacing w:line="360" w:lineRule="auto"/>
        <w:rPr>
          <w:b/>
          <w:sz w:val="24"/>
        </w:rPr>
      </w:pPr>
    </w:p>
    <w:p>
      <w:pPr>
        <w:adjustRightInd w:val="0"/>
        <w:spacing w:line="360" w:lineRule="auto"/>
        <w:rPr>
          <w:b/>
          <w:sz w:val="24"/>
        </w:rPr>
      </w:pPr>
    </w:p>
    <w:p>
      <w:pPr>
        <w:adjustRightInd w:val="0"/>
        <w:spacing w:line="360" w:lineRule="auto"/>
        <w:rPr>
          <w:b/>
          <w:sz w:val="24"/>
        </w:rPr>
      </w:pPr>
    </w:p>
    <w:p>
      <w:pPr>
        <w:adjustRightInd w:val="0"/>
        <w:spacing w:line="360" w:lineRule="auto"/>
        <w:rPr>
          <w:b/>
          <w:sz w:val="24"/>
        </w:rPr>
      </w:pPr>
    </w:p>
    <w:p>
      <w:pPr>
        <w:adjustRightInd w:val="0"/>
        <w:spacing w:line="360" w:lineRule="auto"/>
        <w:rPr>
          <w:b/>
          <w:sz w:val="24"/>
        </w:rPr>
      </w:pPr>
    </w:p>
    <w:p>
      <w:pPr>
        <w:adjustRightInd w:val="0"/>
        <w:spacing w:line="360" w:lineRule="auto"/>
        <w:rPr>
          <w:b/>
          <w:sz w:val="24"/>
        </w:rPr>
      </w:pPr>
    </w:p>
    <w:p>
      <w:pPr>
        <w:adjustRightInd w:val="0"/>
        <w:spacing w:line="360" w:lineRule="auto"/>
        <w:rPr>
          <w:sz w:val="24"/>
        </w:rPr>
      </w:pPr>
      <w:r>
        <w:rPr>
          <w:rFonts w:hint="eastAsia"/>
          <w:sz w:val="24"/>
        </w:rPr>
        <w:t>图1                  土壤监测点位图</w:t>
      </w:r>
    </w:p>
    <w:p>
      <w:pPr>
        <w:adjustRightInd w:val="0"/>
        <w:spacing w:line="360" w:lineRule="auto"/>
        <w:rPr>
          <w:b/>
          <w:sz w:val="24"/>
        </w:rPr>
      </w:pPr>
      <w:r>
        <w:rPr>
          <w:b/>
          <w:sz w:val="24"/>
        </w:rPr>
        <w:t>2</w:t>
      </w:r>
      <w:r>
        <w:rPr>
          <w:rFonts w:hint="eastAsia" w:hAnsi="宋体"/>
          <w:b/>
          <w:sz w:val="24"/>
        </w:rPr>
        <w:t>、监测方法</w:t>
      </w:r>
    </w:p>
    <w:p>
      <w:pPr>
        <w:adjustRightInd w:val="0"/>
        <w:snapToGrid w:val="0"/>
        <w:spacing w:line="360" w:lineRule="auto"/>
        <w:ind w:firstLine="480" w:firstLineChars="200"/>
        <w:rPr>
          <w:sz w:val="24"/>
        </w:rPr>
      </w:pPr>
      <w:r>
        <w:rPr>
          <w:rFonts w:hint="eastAsia" w:hAnsi="宋体"/>
          <w:sz w:val="24"/>
        </w:rPr>
        <w:t>监测方法：</w:t>
      </w:r>
      <w:r>
        <w:rPr>
          <w:sz w:val="24"/>
        </w:rPr>
        <w:t>pH</w:t>
      </w:r>
      <w:r>
        <w:rPr>
          <w:rFonts w:hint="eastAsia" w:hAnsi="宋体"/>
          <w:sz w:val="24"/>
        </w:rPr>
        <w:t>、</w:t>
      </w:r>
      <w:bookmarkStart w:id="0" w:name="OLE_LINK15"/>
      <w:r>
        <w:rPr>
          <w:rFonts w:hint="eastAsia" w:hAnsi="宋体"/>
          <w:sz w:val="24"/>
        </w:rPr>
        <w:t>铬、汞、砷、铜、铅、铬、锌、镍</w:t>
      </w:r>
      <w:bookmarkEnd w:id="0"/>
      <w:r>
        <w:rPr>
          <w:rFonts w:hint="eastAsia" w:hAnsi="宋体"/>
          <w:sz w:val="24"/>
        </w:rPr>
        <w:t>的监测方法参照《土壤环境质量标准》（</w:t>
      </w:r>
      <w:r>
        <w:rPr>
          <w:sz w:val="24"/>
        </w:rPr>
        <w:t>GB15618-1995</w:t>
      </w:r>
      <w:r>
        <w:rPr>
          <w:rFonts w:hint="eastAsia" w:hAnsi="宋体"/>
          <w:sz w:val="24"/>
        </w:rPr>
        <w:t>）、《土壤环境监测技术规范》（</w:t>
      </w:r>
      <w:r>
        <w:rPr>
          <w:sz w:val="24"/>
        </w:rPr>
        <w:t>HJ/T25-2004</w:t>
      </w:r>
      <w:r>
        <w:rPr>
          <w:rFonts w:hint="eastAsia" w:hAnsi="宋体"/>
          <w:sz w:val="24"/>
        </w:rPr>
        <w:t>）。其它项目监测方法参照《工业企业土壤环境质量风险评价基准》（</w:t>
      </w:r>
      <w:r>
        <w:rPr>
          <w:sz w:val="24"/>
        </w:rPr>
        <w:t>HJ/T25-1999</w:t>
      </w:r>
      <w:r>
        <w:rPr>
          <w:rFonts w:hint="eastAsia" w:hAnsi="宋体"/>
          <w:sz w:val="24"/>
        </w:rPr>
        <w:t>）。</w:t>
      </w:r>
    </w:p>
    <w:p>
      <w:pPr>
        <w:spacing w:line="360" w:lineRule="auto"/>
      </w:pPr>
      <w:r>
        <w:rPr>
          <w:rFonts w:hint="eastAsia" w:hAnsi="宋体"/>
          <w:sz w:val="24"/>
        </w:rPr>
        <w:t>土壤采样时，应在地形相对平坦、稳定的地点，采集</w:t>
      </w:r>
      <w:r>
        <w:rPr>
          <w:sz w:val="24"/>
        </w:rPr>
        <w:t>0</w:t>
      </w:r>
      <w:r>
        <w:rPr>
          <w:rFonts w:hint="eastAsia" w:hAnsi="宋体"/>
          <w:sz w:val="24"/>
        </w:rPr>
        <w:t>～</w:t>
      </w:r>
      <w:r>
        <w:rPr>
          <w:sz w:val="24"/>
        </w:rPr>
        <w:t>20cm</w:t>
      </w:r>
      <w:r>
        <w:rPr>
          <w:rFonts w:hint="eastAsia" w:hAnsi="宋体"/>
          <w:sz w:val="24"/>
        </w:rPr>
        <w:t>（表层）、</w:t>
      </w:r>
      <w:r>
        <w:rPr>
          <w:sz w:val="24"/>
        </w:rPr>
        <w:t>20</w:t>
      </w:r>
      <w:r>
        <w:rPr>
          <w:rFonts w:hint="eastAsia" w:hAnsi="宋体"/>
          <w:sz w:val="24"/>
        </w:rPr>
        <w:t>～</w:t>
      </w:r>
      <w:r>
        <w:rPr>
          <w:sz w:val="24"/>
        </w:rPr>
        <w:t>60cm</w:t>
      </w:r>
      <w:r>
        <w:rPr>
          <w:rFonts w:hint="eastAsia" w:hAnsi="宋体"/>
          <w:sz w:val="24"/>
        </w:rPr>
        <w:t>（中层）、</w:t>
      </w:r>
      <w:r>
        <w:rPr>
          <w:sz w:val="24"/>
        </w:rPr>
        <w:t>60</w:t>
      </w:r>
      <w:r>
        <w:rPr>
          <w:rFonts w:hint="eastAsia" w:hAnsi="宋体"/>
          <w:sz w:val="24"/>
        </w:rPr>
        <w:t>～</w:t>
      </w:r>
      <w:r>
        <w:rPr>
          <w:sz w:val="24"/>
        </w:rPr>
        <w:t>100cm</w:t>
      </w:r>
      <w:r>
        <w:rPr>
          <w:rFonts w:hint="eastAsia" w:hAnsi="宋体"/>
          <w:sz w:val="24"/>
        </w:rPr>
        <w:t>（深层）不同层次，且具有代表性部位的土壤样品，每个样品湿重不少于</w:t>
      </w:r>
      <w:r>
        <w:rPr>
          <w:sz w:val="24"/>
        </w:rPr>
        <w:t>1kg</w:t>
      </w:r>
      <w:r>
        <w:rPr>
          <w:rFonts w:hint="eastAsia" w:hAnsi="宋体"/>
          <w:sz w:val="24"/>
        </w:rPr>
        <w:t>，分别装入特制塑料袋，不混合样品，加标签带回实验室。样品除去植物根、石块等，放置阴凉处自然风干，用玻璃瓶压碎，采用四分法取弃土，通过</w:t>
      </w:r>
      <w:r>
        <w:rPr>
          <w:sz w:val="24"/>
        </w:rPr>
        <w:t>80</w:t>
      </w:r>
      <w:r>
        <w:rPr>
          <w:rFonts w:hint="eastAsia" w:hAnsi="宋体"/>
          <w:sz w:val="24"/>
        </w:rPr>
        <w:t>目分样筛，装瓶做分析备用。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3D010A"/>
    <w:rsid w:val="0000562E"/>
    <w:rsid w:val="000069B0"/>
    <w:rsid w:val="00010C3B"/>
    <w:rsid w:val="00011FD5"/>
    <w:rsid w:val="0001424E"/>
    <w:rsid w:val="000173B1"/>
    <w:rsid w:val="0002639B"/>
    <w:rsid w:val="00031B51"/>
    <w:rsid w:val="00031DF9"/>
    <w:rsid w:val="00037158"/>
    <w:rsid w:val="000401B2"/>
    <w:rsid w:val="00040B2C"/>
    <w:rsid w:val="00042663"/>
    <w:rsid w:val="00044AD2"/>
    <w:rsid w:val="000515BD"/>
    <w:rsid w:val="00053162"/>
    <w:rsid w:val="00054F4E"/>
    <w:rsid w:val="000565EC"/>
    <w:rsid w:val="00061B3D"/>
    <w:rsid w:val="00063E52"/>
    <w:rsid w:val="00065755"/>
    <w:rsid w:val="00065B75"/>
    <w:rsid w:val="00065C64"/>
    <w:rsid w:val="00067921"/>
    <w:rsid w:val="00071B03"/>
    <w:rsid w:val="00072870"/>
    <w:rsid w:val="00074DE4"/>
    <w:rsid w:val="00077592"/>
    <w:rsid w:val="0007791F"/>
    <w:rsid w:val="0008220C"/>
    <w:rsid w:val="00082C78"/>
    <w:rsid w:val="00092051"/>
    <w:rsid w:val="00092AE2"/>
    <w:rsid w:val="00093DF7"/>
    <w:rsid w:val="000A6A17"/>
    <w:rsid w:val="000A70B3"/>
    <w:rsid w:val="000A7B1A"/>
    <w:rsid w:val="000B0F4B"/>
    <w:rsid w:val="000B3E1A"/>
    <w:rsid w:val="000B6078"/>
    <w:rsid w:val="000B76A6"/>
    <w:rsid w:val="000C2332"/>
    <w:rsid w:val="000C2B99"/>
    <w:rsid w:val="000C4BD2"/>
    <w:rsid w:val="000C4D96"/>
    <w:rsid w:val="000C53ED"/>
    <w:rsid w:val="000C62AF"/>
    <w:rsid w:val="000C62C4"/>
    <w:rsid w:val="000C78E7"/>
    <w:rsid w:val="000C7CFD"/>
    <w:rsid w:val="000D0DF5"/>
    <w:rsid w:val="000D44C6"/>
    <w:rsid w:val="000D4929"/>
    <w:rsid w:val="000D71C7"/>
    <w:rsid w:val="000E06D3"/>
    <w:rsid w:val="000E68BE"/>
    <w:rsid w:val="000F0309"/>
    <w:rsid w:val="000F33B9"/>
    <w:rsid w:val="00103F2E"/>
    <w:rsid w:val="001040CA"/>
    <w:rsid w:val="00107271"/>
    <w:rsid w:val="00111E7D"/>
    <w:rsid w:val="001252D2"/>
    <w:rsid w:val="00127F4C"/>
    <w:rsid w:val="00137F3A"/>
    <w:rsid w:val="00140FF6"/>
    <w:rsid w:val="00143A50"/>
    <w:rsid w:val="0015535B"/>
    <w:rsid w:val="00161300"/>
    <w:rsid w:val="00163CE9"/>
    <w:rsid w:val="00164AA8"/>
    <w:rsid w:val="00166BDC"/>
    <w:rsid w:val="00167569"/>
    <w:rsid w:val="00170EA9"/>
    <w:rsid w:val="00173101"/>
    <w:rsid w:val="00175B68"/>
    <w:rsid w:val="00177DC7"/>
    <w:rsid w:val="001804D6"/>
    <w:rsid w:val="0018236E"/>
    <w:rsid w:val="00186594"/>
    <w:rsid w:val="00192FDB"/>
    <w:rsid w:val="001A0FA3"/>
    <w:rsid w:val="001A27A7"/>
    <w:rsid w:val="001A4F16"/>
    <w:rsid w:val="001A798C"/>
    <w:rsid w:val="001B4F05"/>
    <w:rsid w:val="001B51F7"/>
    <w:rsid w:val="001B5FAC"/>
    <w:rsid w:val="001B7516"/>
    <w:rsid w:val="001C0816"/>
    <w:rsid w:val="001C2BC4"/>
    <w:rsid w:val="001C5980"/>
    <w:rsid w:val="001C7593"/>
    <w:rsid w:val="001D0361"/>
    <w:rsid w:val="001D4975"/>
    <w:rsid w:val="001D4D66"/>
    <w:rsid w:val="001D7BA7"/>
    <w:rsid w:val="001E2D41"/>
    <w:rsid w:val="001F3D21"/>
    <w:rsid w:val="001F4C20"/>
    <w:rsid w:val="002010D2"/>
    <w:rsid w:val="0020146F"/>
    <w:rsid w:val="00202A4E"/>
    <w:rsid w:val="00203524"/>
    <w:rsid w:val="00204898"/>
    <w:rsid w:val="00206809"/>
    <w:rsid w:val="00207F30"/>
    <w:rsid w:val="0021070B"/>
    <w:rsid w:val="0021769C"/>
    <w:rsid w:val="002179CE"/>
    <w:rsid w:val="002365A6"/>
    <w:rsid w:val="002368CC"/>
    <w:rsid w:val="0024035C"/>
    <w:rsid w:val="00241176"/>
    <w:rsid w:val="00242763"/>
    <w:rsid w:val="00243988"/>
    <w:rsid w:val="00244A0A"/>
    <w:rsid w:val="00244F05"/>
    <w:rsid w:val="002479A5"/>
    <w:rsid w:val="00255009"/>
    <w:rsid w:val="002565F9"/>
    <w:rsid w:val="00262B39"/>
    <w:rsid w:val="00271829"/>
    <w:rsid w:val="002768A2"/>
    <w:rsid w:val="00276EFB"/>
    <w:rsid w:val="0027716C"/>
    <w:rsid w:val="00277F09"/>
    <w:rsid w:val="00282384"/>
    <w:rsid w:val="00282F68"/>
    <w:rsid w:val="00291A07"/>
    <w:rsid w:val="00291F61"/>
    <w:rsid w:val="00293930"/>
    <w:rsid w:val="002A37AF"/>
    <w:rsid w:val="002A6526"/>
    <w:rsid w:val="002B1439"/>
    <w:rsid w:val="002B18C8"/>
    <w:rsid w:val="002B3458"/>
    <w:rsid w:val="002B702B"/>
    <w:rsid w:val="002B79FA"/>
    <w:rsid w:val="002C149D"/>
    <w:rsid w:val="002C6FBC"/>
    <w:rsid w:val="002D4E47"/>
    <w:rsid w:val="002E1EAF"/>
    <w:rsid w:val="002E2C89"/>
    <w:rsid w:val="002E6E5A"/>
    <w:rsid w:val="002F09AD"/>
    <w:rsid w:val="002F0EEE"/>
    <w:rsid w:val="002F1591"/>
    <w:rsid w:val="002F18E6"/>
    <w:rsid w:val="003025D4"/>
    <w:rsid w:val="00302CE9"/>
    <w:rsid w:val="00305D6A"/>
    <w:rsid w:val="00310CEB"/>
    <w:rsid w:val="00313E6E"/>
    <w:rsid w:val="00314609"/>
    <w:rsid w:val="00315D46"/>
    <w:rsid w:val="00315ECF"/>
    <w:rsid w:val="00320819"/>
    <w:rsid w:val="00321872"/>
    <w:rsid w:val="003300E7"/>
    <w:rsid w:val="003339DE"/>
    <w:rsid w:val="00337516"/>
    <w:rsid w:val="003405F3"/>
    <w:rsid w:val="00343F83"/>
    <w:rsid w:val="00343FED"/>
    <w:rsid w:val="0034403C"/>
    <w:rsid w:val="00344BA9"/>
    <w:rsid w:val="0034550F"/>
    <w:rsid w:val="00346A77"/>
    <w:rsid w:val="0034757D"/>
    <w:rsid w:val="00347EB0"/>
    <w:rsid w:val="00351EE1"/>
    <w:rsid w:val="00352DCC"/>
    <w:rsid w:val="00354FE5"/>
    <w:rsid w:val="00356B15"/>
    <w:rsid w:val="0036028B"/>
    <w:rsid w:val="00364E70"/>
    <w:rsid w:val="00376476"/>
    <w:rsid w:val="003818A9"/>
    <w:rsid w:val="0038197B"/>
    <w:rsid w:val="00382B66"/>
    <w:rsid w:val="00386A4E"/>
    <w:rsid w:val="0039120C"/>
    <w:rsid w:val="00393A0B"/>
    <w:rsid w:val="00393B80"/>
    <w:rsid w:val="003A07A3"/>
    <w:rsid w:val="003A568E"/>
    <w:rsid w:val="003B075E"/>
    <w:rsid w:val="003B41B2"/>
    <w:rsid w:val="003C0894"/>
    <w:rsid w:val="003C3646"/>
    <w:rsid w:val="003C4A3C"/>
    <w:rsid w:val="003C4F4F"/>
    <w:rsid w:val="003D010A"/>
    <w:rsid w:val="003D5763"/>
    <w:rsid w:val="003E00E7"/>
    <w:rsid w:val="003E51BD"/>
    <w:rsid w:val="003F0A89"/>
    <w:rsid w:val="003F1F86"/>
    <w:rsid w:val="003F25C9"/>
    <w:rsid w:val="003F2888"/>
    <w:rsid w:val="00401118"/>
    <w:rsid w:val="00403EC0"/>
    <w:rsid w:val="00405231"/>
    <w:rsid w:val="004065F0"/>
    <w:rsid w:val="00413607"/>
    <w:rsid w:val="00420BEA"/>
    <w:rsid w:val="00421CBF"/>
    <w:rsid w:val="00422AFE"/>
    <w:rsid w:val="0042472B"/>
    <w:rsid w:val="00426124"/>
    <w:rsid w:val="00430016"/>
    <w:rsid w:val="00433BE5"/>
    <w:rsid w:val="00441AF4"/>
    <w:rsid w:val="00442938"/>
    <w:rsid w:val="004438A3"/>
    <w:rsid w:val="0044789F"/>
    <w:rsid w:val="00450D50"/>
    <w:rsid w:val="00451814"/>
    <w:rsid w:val="00452937"/>
    <w:rsid w:val="00452A05"/>
    <w:rsid w:val="00454669"/>
    <w:rsid w:val="00456571"/>
    <w:rsid w:val="004571DB"/>
    <w:rsid w:val="004572AC"/>
    <w:rsid w:val="004636C2"/>
    <w:rsid w:val="00464501"/>
    <w:rsid w:val="004664F4"/>
    <w:rsid w:val="00467AA0"/>
    <w:rsid w:val="00472BFC"/>
    <w:rsid w:val="00474FF5"/>
    <w:rsid w:val="00476A7A"/>
    <w:rsid w:val="00481EBE"/>
    <w:rsid w:val="00484C2A"/>
    <w:rsid w:val="0048530D"/>
    <w:rsid w:val="00487C75"/>
    <w:rsid w:val="004914AA"/>
    <w:rsid w:val="00492964"/>
    <w:rsid w:val="00495EF4"/>
    <w:rsid w:val="004976B0"/>
    <w:rsid w:val="004A0E32"/>
    <w:rsid w:val="004A1BB2"/>
    <w:rsid w:val="004A2356"/>
    <w:rsid w:val="004C2B18"/>
    <w:rsid w:val="004C59DB"/>
    <w:rsid w:val="004D23B3"/>
    <w:rsid w:val="004D517B"/>
    <w:rsid w:val="004D77BF"/>
    <w:rsid w:val="004E0A61"/>
    <w:rsid w:val="004E5DF2"/>
    <w:rsid w:val="004E7C5D"/>
    <w:rsid w:val="004F037C"/>
    <w:rsid w:val="004F0604"/>
    <w:rsid w:val="004F2395"/>
    <w:rsid w:val="004F4A00"/>
    <w:rsid w:val="004F5166"/>
    <w:rsid w:val="004F6617"/>
    <w:rsid w:val="004F7C90"/>
    <w:rsid w:val="00502478"/>
    <w:rsid w:val="00503E16"/>
    <w:rsid w:val="00506F62"/>
    <w:rsid w:val="00510DC5"/>
    <w:rsid w:val="005154DA"/>
    <w:rsid w:val="00516629"/>
    <w:rsid w:val="00517005"/>
    <w:rsid w:val="00520C78"/>
    <w:rsid w:val="00527327"/>
    <w:rsid w:val="00532583"/>
    <w:rsid w:val="00540A69"/>
    <w:rsid w:val="00552A07"/>
    <w:rsid w:val="00553715"/>
    <w:rsid w:val="005544E8"/>
    <w:rsid w:val="00555AA0"/>
    <w:rsid w:val="00565910"/>
    <w:rsid w:val="00580E17"/>
    <w:rsid w:val="005864A7"/>
    <w:rsid w:val="005872C9"/>
    <w:rsid w:val="00596246"/>
    <w:rsid w:val="005A3291"/>
    <w:rsid w:val="005B1023"/>
    <w:rsid w:val="005B1E20"/>
    <w:rsid w:val="005B3C3B"/>
    <w:rsid w:val="005C333F"/>
    <w:rsid w:val="005C354F"/>
    <w:rsid w:val="005C4470"/>
    <w:rsid w:val="005D0A3F"/>
    <w:rsid w:val="005D2760"/>
    <w:rsid w:val="005D3A04"/>
    <w:rsid w:val="005D48C0"/>
    <w:rsid w:val="005D531B"/>
    <w:rsid w:val="005D5676"/>
    <w:rsid w:val="005E0ECA"/>
    <w:rsid w:val="005E1734"/>
    <w:rsid w:val="005F14BC"/>
    <w:rsid w:val="005F17DB"/>
    <w:rsid w:val="005F1CF0"/>
    <w:rsid w:val="0060128C"/>
    <w:rsid w:val="00601D9B"/>
    <w:rsid w:val="006027EE"/>
    <w:rsid w:val="006047DB"/>
    <w:rsid w:val="006135BC"/>
    <w:rsid w:val="00616287"/>
    <w:rsid w:val="00617650"/>
    <w:rsid w:val="00623C30"/>
    <w:rsid w:val="00624245"/>
    <w:rsid w:val="00624A91"/>
    <w:rsid w:val="0062553E"/>
    <w:rsid w:val="00626E96"/>
    <w:rsid w:val="00630869"/>
    <w:rsid w:val="006452B6"/>
    <w:rsid w:val="0064782D"/>
    <w:rsid w:val="006528D5"/>
    <w:rsid w:val="00653194"/>
    <w:rsid w:val="00657055"/>
    <w:rsid w:val="00657A86"/>
    <w:rsid w:val="00657B9D"/>
    <w:rsid w:val="00666233"/>
    <w:rsid w:val="00666884"/>
    <w:rsid w:val="0067248E"/>
    <w:rsid w:val="00672601"/>
    <w:rsid w:val="00672E79"/>
    <w:rsid w:val="00674072"/>
    <w:rsid w:val="00676792"/>
    <w:rsid w:val="00682833"/>
    <w:rsid w:val="006837C0"/>
    <w:rsid w:val="006837D2"/>
    <w:rsid w:val="00685323"/>
    <w:rsid w:val="00690F1A"/>
    <w:rsid w:val="00697053"/>
    <w:rsid w:val="00697D2B"/>
    <w:rsid w:val="006A076D"/>
    <w:rsid w:val="006A086C"/>
    <w:rsid w:val="006A0CCA"/>
    <w:rsid w:val="006A2A2E"/>
    <w:rsid w:val="006A77CE"/>
    <w:rsid w:val="006C1E6A"/>
    <w:rsid w:val="006C22B7"/>
    <w:rsid w:val="006C2A05"/>
    <w:rsid w:val="006C5AEA"/>
    <w:rsid w:val="006C5B3E"/>
    <w:rsid w:val="006C6502"/>
    <w:rsid w:val="006C65E3"/>
    <w:rsid w:val="006D0ADD"/>
    <w:rsid w:val="006D53A0"/>
    <w:rsid w:val="006D65BA"/>
    <w:rsid w:val="006E1013"/>
    <w:rsid w:val="006E2468"/>
    <w:rsid w:val="006E2C4E"/>
    <w:rsid w:val="006E4FAC"/>
    <w:rsid w:val="006E52A9"/>
    <w:rsid w:val="006F2E1D"/>
    <w:rsid w:val="00702DA4"/>
    <w:rsid w:val="0070535C"/>
    <w:rsid w:val="00710E21"/>
    <w:rsid w:val="00711CDC"/>
    <w:rsid w:val="0071354B"/>
    <w:rsid w:val="007144E0"/>
    <w:rsid w:val="00720CDF"/>
    <w:rsid w:val="00723F26"/>
    <w:rsid w:val="007258AD"/>
    <w:rsid w:val="00725FA1"/>
    <w:rsid w:val="00727E6B"/>
    <w:rsid w:val="00731743"/>
    <w:rsid w:val="00732A46"/>
    <w:rsid w:val="0073432B"/>
    <w:rsid w:val="007365EF"/>
    <w:rsid w:val="00737DCE"/>
    <w:rsid w:val="007401EB"/>
    <w:rsid w:val="00741006"/>
    <w:rsid w:val="00741E32"/>
    <w:rsid w:val="007520F0"/>
    <w:rsid w:val="00754B7A"/>
    <w:rsid w:val="007552E8"/>
    <w:rsid w:val="00760CFE"/>
    <w:rsid w:val="00763A9A"/>
    <w:rsid w:val="007643F9"/>
    <w:rsid w:val="0076677F"/>
    <w:rsid w:val="007667E0"/>
    <w:rsid w:val="00771EC4"/>
    <w:rsid w:val="007725EE"/>
    <w:rsid w:val="007747A0"/>
    <w:rsid w:val="00787A8A"/>
    <w:rsid w:val="00792CFF"/>
    <w:rsid w:val="0079307E"/>
    <w:rsid w:val="007935F5"/>
    <w:rsid w:val="007954A1"/>
    <w:rsid w:val="007964BE"/>
    <w:rsid w:val="007A2AA2"/>
    <w:rsid w:val="007A494A"/>
    <w:rsid w:val="007B0AE5"/>
    <w:rsid w:val="007B1001"/>
    <w:rsid w:val="007B20DF"/>
    <w:rsid w:val="007B277A"/>
    <w:rsid w:val="007B30D6"/>
    <w:rsid w:val="007B3FD4"/>
    <w:rsid w:val="007C27D9"/>
    <w:rsid w:val="007C28CB"/>
    <w:rsid w:val="007C3CF8"/>
    <w:rsid w:val="007C4051"/>
    <w:rsid w:val="007C50F5"/>
    <w:rsid w:val="007D23AE"/>
    <w:rsid w:val="007D47FB"/>
    <w:rsid w:val="007D504A"/>
    <w:rsid w:val="007E14A7"/>
    <w:rsid w:val="007E2519"/>
    <w:rsid w:val="007E5607"/>
    <w:rsid w:val="007F4BF7"/>
    <w:rsid w:val="00800B72"/>
    <w:rsid w:val="008028C8"/>
    <w:rsid w:val="0080356E"/>
    <w:rsid w:val="00803C81"/>
    <w:rsid w:val="00804A88"/>
    <w:rsid w:val="00804DB0"/>
    <w:rsid w:val="00815419"/>
    <w:rsid w:val="00817B3F"/>
    <w:rsid w:val="0082073C"/>
    <w:rsid w:val="00822851"/>
    <w:rsid w:val="00826854"/>
    <w:rsid w:val="0084390E"/>
    <w:rsid w:val="008444D0"/>
    <w:rsid w:val="00851837"/>
    <w:rsid w:val="00851ECC"/>
    <w:rsid w:val="00852927"/>
    <w:rsid w:val="00855FB8"/>
    <w:rsid w:val="008615E1"/>
    <w:rsid w:val="00864B31"/>
    <w:rsid w:val="00867FD7"/>
    <w:rsid w:val="00870AC2"/>
    <w:rsid w:val="00870F5C"/>
    <w:rsid w:val="008725D3"/>
    <w:rsid w:val="008769A2"/>
    <w:rsid w:val="00877C5C"/>
    <w:rsid w:val="00881448"/>
    <w:rsid w:val="00884E53"/>
    <w:rsid w:val="008856E2"/>
    <w:rsid w:val="008870C5"/>
    <w:rsid w:val="0088717E"/>
    <w:rsid w:val="00887965"/>
    <w:rsid w:val="0089110F"/>
    <w:rsid w:val="0089112A"/>
    <w:rsid w:val="0089554B"/>
    <w:rsid w:val="00896197"/>
    <w:rsid w:val="008A4246"/>
    <w:rsid w:val="008A5220"/>
    <w:rsid w:val="008A5DBB"/>
    <w:rsid w:val="008B0723"/>
    <w:rsid w:val="008B1BF9"/>
    <w:rsid w:val="008B3774"/>
    <w:rsid w:val="008C1513"/>
    <w:rsid w:val="008D3EA8"/>
    <w:rsid w:val="008E1F1B"/>
    <w:rsid w:val="008E686F"/>
    <w:rsid w:val="008E6F6C"/>
    <w:rsid w:val="008E7CA9"/>
    <w:rsid w:val="008F439F"/>
    <w:rsid w:val="008F63CC"/>
    <w:rsid w:val="00903258"/>
    <w:rsid w:val="0090470A"/>
    <w:rsid w:val="00904E5E"/>
    <w:rsid w:val="00904F71"/>
    <w:rsid w:val="009051DF"/>
    <w:rsid w:val="00910374"/>
    <w:rsid w:val="009143A8"/>
    <w:rsid w:val="009150A3"/>
    <w:rsid w:val="00915E93"/>
    <w:rsid w:val="0092076E"/>
    <w:rsid w:val="009210DC"/>
    <w:rsid w:val="009249D1"/>
    <w:rsid w:val="009258BA"/>
    <w:rsid w:val="00926F10"/>
    <w:rsid w:val="00927C9B"/>
    <w:rsid w:val="009370B9"/>
    <w:rsid w:val="00937D77"/>
    <w:rsid w:val="0094034B"/>
    <w:rsid w:val="0094085A"/>
    <w:rsid w:val="009427B6"/>
    <w:rsid w:val="00944796"/>
    <w:rsid w:val="00947370"/>
    <w:rsid w:val="009514C1"/>
    <w:rsid w:val="00951FA0"/>
    <w:rsid w:val="0095233B"/>
    <w:rsid w:val="00952684"/>
    <w:rsid w:val="00953009"/>
    <w:rsid w:val="00953AFC"/>
    <w:rsid w:val="00955A99"/>
    <w:rsid w:val="00955CD8"/>
    <w:rsid w:val="009608E2"/>
    <w:rsid w:val="00960EC7"/>
    <w:rsid w:val="00967E25"/>
    <w:rsid w:val="00971205"/>
    <w:rsid w:val="00977373"/>
    <w:rsid w:val="00980D5D"/>
    <w:rsid w:val="00981407"/>
    <w:rsid w:val="00983472"/>
    <w:rsid w:val="00986B38"/>
    <w:rsid w:val="00990838"/>
    <w:rsid w:val="0099089A"/>
    <w:rsid w:val="009A0058"/>
    <w:rsid w:val="009A250E"/>
    <w:rsid w:val="009A2ED2"/>
    <w:rsid w:val="009A7F4D"/>
    <w:rsid w:val="009B5B58"/>
    <w:rsid w:val="009C0E27"/>
    <w:rsid w:val="009D21CD"/>
    <w:rsid w:val="009D375D"/>
    <w:rsid w:val="009D5E63"/>
    <w:rsid w:val="009E3051"/>
    <w:rsid w:val="009E3E6A"/>
    <w:rsid w:val="009F6D05"/>
    <w:rsid w:val="00A00C7A"/>
    <w:rsid w:val="00A01D73"/>
    <w:rsid w:val="00A056AB"/>
    <w:rsid w:val="00A110B6"/>
    <w:rsid w:val="00A11770"/>
    <w:rsid w:val="00A118A5"/>
    <w:rsid w:val="00A238E7"/>
    <w:rsid w:val="00A24ECE"/>
    <w:rsid w:val="00A31409"/>
    <w:rsid w:val="00A32FB6"/>
    <w:rsid w:val="00A417B6"/>
    <w:rsid w:val="00A423AF"/>
    <w:rsid w:val="00A50D8A"/>
    <w:rsid w:val="00A5115D"/>
    <w:rsid w:val="00A54CF9"/>
    <w:rsid w:val="00A61C3B"/>
    <w:rsid w:val="00A64CCC"/>
    <w:rsid w:val="00A65669"/>
    <w:rsid w:val="00A73702"/>
    <w:rsid w:val="00A74BA4"/>
    <w:rsid w:val="00A75642"/>
    <w:rsid w:val="00A76D57"/>
    <w:rsid w:val="00A80382"/>
    <w:rsid w:val="00A82D83"/>
    <w:rsid w:val="00A82E7E"/>
    <w:rsid w:val="00A85FDC"/>
    <w:rsid w:val="00A86CCE"/>
    <w:rsid w:val="00A97775"/>
    <w:rsid w:val="00A979B8"/>
    <w:rsid w:val="00AA386B"/>
    <w:rsid w:val="00AB0085"/>
    <w:rsid w:val="00AB1576"/>
    <w:rsid w:val="00AB2252"/>
    <w:rsid w:val="00AB2E67"/>
    <w:rsid w:val="00AB4A03"/>
    <w:rsid w:val="00AB4C93"/>
    <w:rsid w:val="00AB5B97"/>
    <w:rsid w:val="00AC2A99"/>
    <w:rsid w:val="00AC5D7C"/>
    <w:rsid w:val="00AD34B9"/>
    <w:rsid w:val="00AE0B26"/>
    <w:rsid w:val="00AF2ED9"/>
    <w:rsid w:val="00AF4BC2"/>
    <w:rsid w:val="00AF574C"/>
    <w:rsid w:val="00AF691C"/>
    <w:rsid w:val="00B10A15"/>
    <w:rsid w:val="00B17165"/>
    <w:rsid w:val="00B17DF1"/>
    <w:rsid w:val="00B206E7"/>
    <w:rsid w:val="00B22FA8"/>
    <w:rsid w:val="00B337F9"/>
    <w:rsid w:val="00B364F6"/>
    <w:rsid w:val="00B36DA3"/>
    <w:rsid w:val="00B44A77"/>
    <w:rsid w:val="00B527A2"/>
    <w:rsid w:val="00B5361F"/>
    <w:rsid w:val="00B55B31"/>
    <w:rsid w:val="00B602B9"/>
    <w:rsid w:val="00B619C7"/>
    <w:rsid w:val="00B624ED"/>
    <w:rsid w:val="00B66A2A"/>
    <w:rsid w:val="00B7013F"/>
    <w:rsid w:val="00B705DF"/>
    <w:rsid w:val="00B70D71"/>
    <w:rsid w:val="00B70ECB"/>
    <w:rsid w:val="00B7483A"/>
    <w:rsid w:val="00B75434"/>
    <w:rsid w:val="00B76803"/>
    <w:rsid w:val="00B81835"/>
    <w:rsid w:val="00B8798E"/>
    <w:rsid w:val="00B97C73"/>
    <w:rsid w:val="00BA5D9D"/>
    <w:rsid w:val="00BB2D25"/>
    <w:rsid w:val="00BC0802"/>
    <w:rsid w:val="00BC45A3"/>
    <w:rsid w:val="00BC589A"/>
    <w:rsid w:val="00BD0798"/>
    <w:rsid w:val="00BD2F04"/>
    <w:rsid w:val="00BD4EFF"/>
    <w:rsid w:val="00BE0180"/>
    <w:rsid w:val="00BE79C1"/>
    <w:rsid w:val="00BE7EBC"/>
    <w:rsid w:val="00BF1F2A"/>
    <w:rsid w:val="00BF1F9F"/>
    <w:rsid w:val="00BF3478"/>
    <w:rsid w:val="00BF3726"/>
    <w:rsid w:val="00BF48F4"/>
    <w:rsid w:val="00BF7164"/>
    <w:rsid w:val="00BF7704"/>
    <w:rsid w:val="00C04AC8"/>
    <w:rsid w:val="00C07DB6"/>
    <w:rsid w:val="00C11DA2"/>
    <w:rsid w:val="00C14F63"/>
    <w:rsid w:val="00C225B7"/>
    <w:rsid w:val="00C231B9"/>
    <w:rsid w:val="00C23618"/>
    <w:rsid w:val="00C24D69"/>
    <w:rsid w:val="00C340CD"/>
    <w:rsid w:val="00C34C07"/>
    <w:rsid w:val="00C35F43"/>
    <w:rsid w:val="00C4140C"/>
    <w:rsid w:val="00C41748"/>
    <w:rsid w:val="00C41A3A"/>
    <w:rsid w:val="00C46072"/>
    <w:rsid w:val="00C50E39"/>
    <w:rsid w:val="00C525B8"/>
    <w:rsid w:val="00C527CE"/>
    <w:rsid w:val="00C551F3"/>
    <w:rsid w:val="00C57F0A"/>
    <w:rsid w:val="00C66C4E"/>
    <w:rsid w:val="00C70682"/>
    <w:rsid w:val="00C70B10"/>
    <w:rsid w:val="00C72442"/>
    <w:rsid w:val="00C74E3A"/>
    <w:rsid w:val="00C90FBA"/>
    <w:rsid w:val="00C95616"/>
    <w:rsid w:val="00C97416"/>
    <w:rsid w:val="00CA0444"/>
    <w:rsid w:val="00CA3474"/>
    <w:rsid w:val="00CA425B"/>
    <w:rsid w:val="00CA5B11"/>
    <w:rsid w:val="00CA6D65"/>
    <w:rsid w:val="00CA7712"/>
    <w:rsid w:val="00CB004D"/>
    <w:rsid w:val="00CB36D3"/>
    <w:rsid w:val="00CC0E3F"/>
    <w:rsid w:val="00CC4229"/>
    <w:rsid w:val="00CD1C6C"/>
    <w:rsid w:val="00CD3A5F"/>
    <w:rsid w:val="00CD4634"/>
    <w:rsid w:val="00CD4F51"/>
    <w:rsid w:val="00CD5E83"/>
    <w:rsid w:val="00CD65FB"/>
    <w:rsid w:val="00CD7784"/>
    <w:rsid w:val="00CE0647"/>
    <w:rsid w:val="00CE3270"/>
    <w:rsid w:val="00CE358C"/>
    <w:rsid w:val="00CE59FE"/>
    <w:rsid w:val="00CE6725"/>
    <w:rsid w:val="00CE76F5"/>
    <w:rsid w:val="00CF2404"/>
    <w:rsid w:val="00CF25A8"/>
    <w:rsid w:val="00CF61A9"/>
    <w:rsid w:val="00D00731"/>
    <w:rsid w:val="00D067B5"/>
    <w:rsid w:val="00D0739F"/>
    <w:rsid w:val="00D11485"/>
    <w:rsid w:val="00D1555A"/>
    <w:rsid w:val="00D16855"/>
    <w:rsid w:val="00D1762D"/>
    <w:rsid w:val="00D22479"/>
    <w:rsid w:val="00D229DD"/>
    <w:rsid w:val="00D424D4"/>
    <w:rsid w:val="00D43E66"/>
    <w:rsid w:val="00D5084E"/>
    <w:rsid w:val="00D557A4"/>
    <w:rsid w:val="00D565DE"/>
    <w:rsid w:val="00D578DF"/>
    <w:rsid w:val="00D6162B"/>
    <w:rsid w:val="00D6539F"/>
    <w:rsid w:val="00D75266"/>
    <w:rsid w:val="00D758D8"/>
    <w:rsid w:val="00D762FC"/>
    <w:rsid w:val="00D76EFA"/>
    <w:rsid w:val="00D850E8"/>
    <w:rsid w:val="00D8698A"/>
    <w:rsid w:val="00D87158"/>
    <w:rsid w:val="00D905E8"/>
    <w:rsid w:val="00D92011"/>
    <w:rsid w:val="00D92404"/>
    <w:rsid w:val="00D93B4B"/>
    <w:rsid w:val="00DA04B4"/>
    <w:rsid w:val="00DA36EC"/>
    <w:rsid w:val="00DA384E"/>
    <w:rsid w:val="00DB1851"/>
    <w:rsid w:val="00DB7502"/>
    <w:rsid w:val="00DC4057"/>
    <w:rsid w:val="00DC60CC"/>
    <w:rsid w:val="00DD4CA2"/>
    <w:rsid w:val="00DD4D26"/>
    <w:rsid w:val="00DD5150"/>
    <w:rsid w:val="00DD602C"/>
    <w:rsid w:val="00DE400D"/>
    <w:rsid w:val="00DE487B"/>
    <w:rsid w:val="00DE4E89"/>
    <w:rsid w:val="00DE64A0"/>
    <w:rsid w:val="00DE7BD3"/>
    <w:rsid w:val="00DF65F1"/>
    <w:rsid w:val="00DF70B0"/>
    <w:rsid w:val="00DF7858"/>
    <w:rsid w:val="00E004A2"/>
    <w:rsid w:val="00E026B0"/>
    <w:rsid w:val="00E046AE"/>
    <w:rsid w:val="00E05E39"/>
    <w:rsid w:val="00E07769"/>
    <w:rsid w:val="00E119C8"/>
    <w:rsid w:val="00E14112"/>
    <w:rsid w:val="00E224F2"/>
    <w:rsid w:val="00E233B8"/>
    <w:rsid w:val="00E23D6A"/>
    <w:rsid w:val="00E26346"/>
    <w:rsid w:val="00E32EBC"/>
    <w:rsid w:val="00E40677"/>
    <w:rsid w:val="00E410C3"/>
    <w:rsid w:val="00E50609"/>
    <w:rsid w:val="00E50833"/>
    <w:rsid w:val="00E56E87"/>
    <w:rsid w:val="00E7137D"/>
    <w:rsid w:val="00E71895"/>
    <w:rsid w:val="00E84F2A"/>
    <w:rsid w:val="00E8772D"/>
    <w:rsid w:val="00E94EFB"/>
    <w:rsid w:val="00E9538E"/>
    <w:rsid w:val="00EA4C51"/>
    <w:rsid w:val="00EA5E25"/>
    <w:rsid w:val="00EA75E4"/>
    <w:rsid w:val="00EB0B74"/>
    <w:rsid w:val="00EB2076"/>
    <w:rsid w:val="00EB36DB"/>
    <w:rsid w:val="00EB3CF6"/>
    <w:rsid w:val="00EB608F"/>
    <w:rsid w:val="00EC32BF"/>
    <w:rsid w:val="00EC4C73"/>
    <w:rsid w:val="00EC6E20"/>
    <w:rsid w:val="00ED08DB"/>
    <w:rsid w:val="00ED0C84"/>
    <w:rsid w:val="00EE44F9"/>
    <w:rsid w:val="00EE4D86"/>
    <w:rsid w:val="00EE747B"/>
    <w:rsid w:val="00EE78EC"/>
    <w:rsid w:val="00EF3617"/>
    <w:rsid w:val="00EF49DD"/>
    <w:rsid w:val="00EF5368"/>
    <w:rsid w:val="00F039BC"/>
    <w:rsid w:val="00F05043"/>
    <w:rsid w:val="00F05EF5"/>
    <w:rsid w:val="00F06576"/>
    <w:rsid w:val="00F101AA"/>
    <w:rsid w:val="00F14B2A"/>
    <w:rsid w:val="00F216CE"/>
    <w:rsid w:val="00F21D41"/>
    <w:rsid w:val="00F22CD0"/>
    <w:rsid w:val="00F23654"/>
    <w:rsid w:val="00F24BE0"/>
    <w:rsid w:val="00F26C24"/>
    <w:rsid w:val="00F273D1"/>
    <w:rsid w:val="00F3478E"/>
    <w:rsid w:val="00F3557B"/>
    <w:rsid w:val="00F36CBF"/>
    <w:rsid w:val="00F43BCD"/>
    <w:rsid w:val="00F50755"/>
    <w:rsid w:val="00F52B69"/>
    <w:rsid w:val="00F539AB"/>
    <w:rsid w:val="00F56B77"/>
    <w:rsid w:val="00F62810"/>
    <w:rsid w:val="00F62BED"/>
    <w:rsid w:val="00F65B7C"/>
    <w:rsid w:val="00F678E4"/>
    <w:rsid w:val="00F70ED6"/>
    <w:rsid w:val="00F93256"/>
    <w:rsid w:val="00FA0510"/>
    <w:rsid w:val="00FB5FF5"/>
    <w:rsid w:val="00FB7D46"/>
    <w:rsid w:val="00FC2942"/>
    <w:rsid w:val="00FC4F89"/>
    <w:rsid w:val="00FC5908"/>
    <w:rsid w:val="00FD1A1A"/>
    <w:rsid w:val="00FD4E35"/>
    <w:rsid w:val="00FD7B26"/>
    <w:rsid w:val="00FE45DF"/>
    <w:rsid w:val="00FE4B4D"/>
    <w:rsid w:val="00FF0DAD"/>
    <w:rsid w:val="00FF2E0A"/>
    <w:rsid w:val="00FF31D5"/>
    <w:rsid w:val="00FF7F8C"/>
    <w:rsid w:val="044C6D6E"/>
    <w:rsid w:val="11FF7E09"/>
    <w:rsid w:val="43992D4F"/>
    <w:rsid w:val="61E07596"/>
    <w:rsid w:val="633C31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iPriority="99" w:name="Normal Indent"/>
    <w:lsdException w:uiPriority="99" w:name="footnote text"/>
    <w:lsdException w:uiPriority="99" w:name="annotation text"/>
    <w:lsdException w:qFormat="1"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"/>
    <w:qFormat/>
    <w:uiPriority w:val="9"/>
    <w:pPr>
      <w:keepNext/>
      <w:keepLines/>
      <w:adjustRightInd w:val="0"/>
      <w:spacing w:before="340" w:after="330" w:line="578" w:lineRule="auto"/>
      <w:jc w:val="left"/>
      <w:textAlignment w:val="baseline"/>
      <w:outlineLvl w:val="0"/>
    </w:pPr>
    <w:rPr>
      <w:b/>
      <w:bCs/>
      <w:kern w:val="44"/>
      <w:sz w:val="44"/>
      <w:szCs w:val="44"/>
    </w:rPr>
  </w:style>
  <w:style w:type="character" w:default="1" w:styleId="8">
    <w:name w:val="Default Paragraph Font"/>
    <w:semiHidden/>
    <w:unhideWhenUsed/>
    <w:uiPriority w:val="1"/>
  </w:style>
  <w:style w:type="table" w:default="1" w:styleId="9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Indent"/>
    <w:basedOn w:val="1"/>
    <w:semiHidden/>
    <w:unhideWhenUsed/>
    <w:qFormat/>
    <w:uiPriority w:val="99"/>
    <w:pPr>
      <w:adjustRightInd w:val="0"/>
      <w:spacing w:line="360" w:lineRule="auto"/>
      <w:ind w:firstLine="420" w:firstLineChars="200"/>
      <w:jc w:val="left"/>
      <w:textAlignment w:val="baseline"/>
    </w:pPr>
    <w:rPr>
      <w:rFonts w:cstheme="minorBidi"/>
      <w:kern w:val="0"/>
      <w:sz w:val="24"/>
    </w:rPr>
  </w:style>
  <w:style w:type="paragraph" w:styleId="4">
    <w:name w:val="Body Text"/>
    <w:basedOn w:val="1"/>
    <w:link w:val="13"/>
    <w:semiHidden/>
    <w:unhideWhenUsed/>
    <w:qFormat/>
    <w:uiPriority w:val="99"/>
    <w:pPr>
      <w:adjustRightInd w:val="0"/>
      <w:spacing w:after="120" w:line="360" w:lineRule="auto"/>
      <w:jc w:val="left"/>
      <w:textAlignment w:val="baseline"/>
    </w:pPr>
    <w:rPr>
      <w:rFonts w:cstheme="minorBidi"/>
      <w:kern w:val="0"/>
      <w:sz w:val="24"/>
    </w:rPr>
  </w:style>
  <w:style w:type="paragraph" w:styleId="5">
    <w:name w:val="Balloon Text"/>
    <w:basedOn w:val="1"/>
    <w:link w:val="17"/>
    <w:semiHidden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9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8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0">
    <w:name w:val="标题 1 Char"/>
    <w:basedOn w:val="8"/>
    <w:link w:val="2"/>
    <w:qFormat/>
    <w:uiPriority w:val="9"/>
    <w:rPr>
      <w:rFonts w:ascii="Times New Roman" w:hAnsi="Times New Roman" w:eastAsia="宋体" w:cs="Times New Roman"/>
      <w:b/>
      <w:bCs/>
      <w:kern w:val="44"/>
      <w:sz w:val="44"/>
      <w:szCs w:val="44"/>
    </w:rPr>
  </w:style>
  <w:style w:type="paragraph" w:customStyle="1" w:styleId="11">
    <w:name w:val="表格内容22"/>
    <w:basedOn w:val="1"/>
    <w:qFormat/>
    <w:uiPriority w:val="0"/>
    <w:pPr>
      <w:jc w:val="center"/>
    </w:pPr>
    <w:rPr>
      <w:rFonts w:cs="宋体"/>
      <w:szCs w:val="21"/>
    </w:rPr>
  </w:style>
  <w:style w:type="paragraph" w:customStyle="1" w:styleId="12">
    <w:name w:val="表格文字"/>
    <w:basedOn w:val="4"/>
    <w:link w:val="14"/>
    <w:qFormat/>
    <w:uiPriority w:val="0"/>
    <w:pPr>
      <w:adjustRightInd/>
      <w:spacing w:after="0" w:line="240" w:lineRule="auto"/>
      <w:jc w:val="center"/>
      <w:textAlignment w:val="auto"/>
    </w:pPr>
    <w:rPr>
      <w:rFonts w:cs="Times New Roman"/>
      <w:kern w:val="2"/>
      <w:sz w:val="21"/>
      <w:szCs w:val="21"/>
    </w:rPr>
  </w:style>
  <w:style w:type="character" w:customStyle="1" w:styleId="13">
    <w:name w:val="正文文本 Char"/>
    <w:basedOn w:val="8"/>
    <w:link w:val="4"/>
    <w:semiHidden/>
    <w:qFormat/>
    <w:uiPriority w:val="99"/>
    <w:rPr>
      <w:rFonts w:ascii="Times New Roman" w:hAnsi="Times New Roman" w:eastAsia="宋体"/>
      <w:kern w:val="0"/>
      <w:sz w:val="24"/>
      <w:szCs w:val="24"/>
    </w:rPr>
  </w:style>
  <w:style w:type="character" w:customStyle="1" w:styleId="14">
    <w:name w:val="表格文字 Char"/>
    <w:link w:val="12"/>
    <w:qFormat/>
    <w:uiPriority w:val="0"/>
    <w:rPr>
      <w:rFonts w:ascii="Times New Roman" w:hAnsi="Times New Roman" w:eastAsia="宋体" w:cs="Times New Roman"/>
      <w:szCs w:val="21"/>
    </w:rPr>
  </w:style>
  <w:style w:type="paragraph" w:customStyle="1" w:styleId="15">
    <w:name w:val="表格内容"/>
    <w:basedOn w:val="3"/>
    <w:link w:val="16"/>
    <w:qFormat/>
    <w:uiPriority w:val="0"/>
    <w:pPr>
      <w:adjustRightInd/>
      <w:spacing w:line="240" w:lineRule="auto"/>
      <w:ind w:firstLine="0" w:firstLineChars="0"/>
      <w:jc w:val="center"/>
      <w:textAlignment w:val="auto"/>
    </w:pPr>
    <w:rPr>
      <w:rFonts w:ascii="Verdana" w:hAnsi="Verdana" w:cs="Times New Roman"/>
      <w:kern w:val="2"/>
      <w:sz w:val="18"/>
      <w:szCs w:val="20"/>
    </w:rPr>
  </w:style>
  <w:style w:type="character" w:customStyle="1" w:styleId="16">
    <w:name w:val="表格内容 Char"/>
    <w:link w:val="15"/>
    <w:qFormat/>
    <w:uiPriority w:val="0"/>
    <w:rPr>
      <w:rFonts w:ascii="Verdana" w:hAnsi="Verdana" w:eastAsia="宋体" w:cs="Times New Roman"/>
      <w:sz w:val="18"/>
      <w:szCs w:val="20"/>
    </w:rPr>
  </w:style>
  <w:style w:type="character" w:customStyle="1" w:styleId="17">
    <w:name w:val="批注框文本 Char"/>
    <w:basedOn w:val="8"/>
    <w:link w:val="5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8">
    <w:name w:val="页眉 Char"/>
    <w:basedOn w:val="8"/>
    <w:link w:val="7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19">
    <w:name w:val="页脚 Char"/>
    <w:basedOn w:val="8"/>
    <w:link w:val="6"/>
    <w:semiHidden/>
    <w:qFormat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88</Words>
  <Characters>503</Characters>
  <Lines>4</Lines>
  <Paragraphs>1</Paragraphs>
  <TotalTime>0</TotalTime>
  <ScaleCrop>false</ScaleCrop>
  <LinksUpToDate>false</LinksUpToDate>
  <CharactersWithSpaces>590</CharactersWithSpaces>
  <Application>WPS Office_11.1.0.8002_F1E327BC-269C-435d-A152-05C5408002CA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2018-12-06T02:49:00Z</dcterms:created>
  <dc:creator>王琼</dc:creator>
  <cp:lastModifiedBy>gck</cp:lastModifiedBy>
  <dcterms:modified xsi:type="dcterms:W3CDTF">2018-12-08T02:57:25Z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2052-11.1.0.8002</vt:lpwstr>
  </property>
</Properties>
</file>