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1C4" w:rsidRPr="00444D04" w:rsidRDefault="003241C4" w:rsidP="003241C4">
      <w:pPr>
        <w:pStyle w:val="WB"/>
        <w:spacing w:line="240" w:lineRule="auto"/>
        <w:ind w:firstLineChars="0" w:firstLine="0"/>
        <w:jc w:val="center"/>
        <w:rPr>
          <w:b/>
          <w:bCs/>
          <w:sz w:val="44"/>
          <w:szCs w:val="44"/>
        </w:rPr>
      </w:pPr>
      <w:r w:rsidRPr="00444D04">
        <w:rPr>
          <w:rFonts w:hint="eastAsia"/>
          <w:b/>
          <w:bCs/>
          <w:sz w:val="44"/>
          <w:szCs w:val="44"/>
        </w:rPr>
        <w:t>陕西未来能源化工有限公司</w:t>
      </w:r>
    </w:p>
    <w:p w:rsidR="003241C4" w:rsidRPr="00444D04" w:rsidRDefault="003241C4" w:rsidP="003241C4">
      <w:pPr>
        <w:pStyle w:val="WB"/>
        <w:spacing w:line="240" w:lineRule="auto"/>
        <w:ind w:firstLineChars="0" w:firstLine="0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煤制油分公司</w:t>
      </w:r>
      <w:r w:rsidR="00EF2B79">
        <w:rPr>
          <w:rFonts w:hint="eastAsia"/>
          <w:b/>
          <w:bCs/>
          <w:sz w:val="44"/>
          <w:szCs w:val="44"/>
        </w:rPr>
        <w:t>合成</w:t>
      </w:r>
      <w:r>
        <w:rPr>
          <w:rFonts w:hint="eastAsia"/>
          <w:b/>
          <w:bCs/>
          <w:sz w:val="44"/>
          <w:szCs w:val="44"/>
        </w:rPr>
        <w:t>车间</w:t>
      </w:r>
    </w:p>
    <w:p w:rsidR="003241C4" w:rsidRPr="00444D04" w:rsidRDefault="003241C4" w:rsidP="003241C4">
      <w:pPr>
        <w:pStyle w:val="WB"/>
        <w:tabs>
          <w:tab w:val="center" w:pos="4252"/>
          <w:tab w:val="left" w:pos="6536"/>
        </w:tabs>
        <w:spacing w:line="240" w:lineRule="auto"/>
        <w:ind w:firstLineChars="0" w:firstLine="0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液氮</w:t>
      </w:r>
    </w:p>
    <w:p w:rsidR="003241C4" w:rsidRPr="00444D04" w:rsidRDefault="003241C4" w:rsidP="003241C4">
      <w:pPr>
        <w:pStyle w:val="WB"/>
        <w:tabs>
          <w:tab w:val="center" w:pos="4252"/>
          <w:tab w:val="left" w:pos="6536"/>
        </w:tabs>
        <w:spacing w:line="240" w:lineRule="auto"/>
        <w:ind w:firstLineChars="0" w:firstLine="0"/>
        <w:jc w:val="center"/>
        <w:rPr>
          <w:b/>
          <w:bCs/>
          <w:sz w:val="44"/>
          <w:szCs w:val="44"/>
        </w:rPr>
      </w:pPr>
    </w:p>
    <w:p w:rsidR="003241C4" w:rsidRPr="00444D04" w:rsidRDefault="003241C4" w:rsidP="003241C4">
      <w:pPr>
        <w:pStyle w:val="WB"/>
        <w:tabs>
          <w:tab w:val="center" w:pos="4252"/>
          <w:tab w:val="left" w:pos="6536"/>
        </w:tabs>
        <w:spacing w:line="240" w:lineRule="auto"/>
        <w:ind w:firstLineChars="0" w:firstLine="0"/>
        <w:jc w:val="center"/>
        <w:rPr>
          <w:b/>
          <w:bCs/>
          <w:sz w:val="48"/>
          <w:szCs w:val="48"/>
        </w:rPr>
      </w:pPr>
    </w:p>
    <w:p w:rsidR="003241C4" w:rsidRPr="00444D04" w:rsidRDefault="003241C4" w:rsidP="003241C4">
      <w:pPr>
        <w:pStyle w:val="WB"/>
        <w:spacing w:line="240" w:lineRule="auto"/>
        <w:ind w:firstLineChars="0" w:firstLine="0"/>
        <w:jc w:val="center"/>
        <w:rPr>
          <w:rFonts w:ascii="宋体" w:cs="宋体"/>
          <w:b/>
          <w:sz w:val="48"/>
          <w:szCs w:val="48"/>
        </w:rPr>
      </w:pPr>
      <w:r w:rsidRPr="00444D04">
        <w:rPr>
          <w:rFonts w:ascii="宋体" w:cs="宋体" w:hint="eastAsia"/>
          <w:b/>
          <w:sz w:val="48"/>
          <w:szCs w:val="48"/>
        </w:rPr>
        <w:t>技术规格书</w:t>
      </w:r>
    </w:p>
    <w:p w:rsidR="003241C4" w:rsidRDefault="003241C4" w:rsidP="003241C4">
      <w:pPr>
        <w:pStyle w:val="WB"/>
        <w:spacing w:line="240" w:lineRule="auto"/>
        <w:ind w:firstLineChars="0" w:firstLine="0"/>
        <w:jc w:val="center"/>
        <w:rPr>
          <w:rFonts w:ascii="宋体" w:cs="宋体"/>
          <w:b/>
          <w:sz w:val="36"/>
          <w:szCs w:val="36"/>
        </w:rPr>
      </w:pPr>
    </w:p>
    <w:p w:rsidR="003241C4" w:rsidRPr="00444D04" w:rsidRDefault="003241C4" w:rsidP="003241C4">
      <w:pPr>
        <w:pStyle w:val="WB"/>
        <w:spacing w:line="240" w:lineRule="auto"/>
        <w:ind w:firstLineChars="0" w:firstLine="0"/>
        <w:jc w:val="center"/>
        <w:rPr>
          <w:rFonts w:ascii="宋体" w:cs="宋体"/>
          <w:b/>
          <w:sz w:val="36"/>
          <w:szCs w:val="36"/>
        </w:rPr>
      </w:pPr>
    </w:p>
    <w:p w:rsidR="003241C4" w:rsidRDefault="003241C4" w:rsidP="003241C4">
      <w:pPr>
        <w:tabs>
          <w:tab w:val="left" w:pos="180"/>
        </w:tabs>
        <w:autoSpaceDE w:val="0"/>
        <w:autoSpaceDN w:val="0"/>
        <w:spacing w:line="800" w:lineRule="exact"/>
        <w:textAlignment w:val="bottom"/>
        <w:rPr>
          <w:rFonts w:ascii="黑体" w:eastAsia="黑体" w:hAnsi="黑体"/>
          <w:b/>
          <w:sz w:val="36"/>
          <w:szCs w:val="36"/>
          <w:u w:val="single"/>
        </w:rPr>
      </w:pPr>
      <w:r w:rsidRPr="00444D04">
        <w:rPr>
          <w:rFonts w:ascii="黑体" w:eastAsia="黑体" w:hAnsi="黑体" w:hint="eastAsia"/>
          <w:b/>
          <w:sz w:val="36"/>
          <w:szCs w:val="36"/>
        </w:rPr>
        <w:t>编    制：</w:t>
      </w:r>
      <w:r w:rsidRPr="00444D04">
        <w:rPr>
          <w:rFonts w:ascii="黑体" w:eastAsia="黑体" w:hAnsi="黑体" w:hint="eastAsia"/>
          <w:b/>
          <w:sz w:val="36"/>
          <w:szCs w:val="36"/>
          <w:u w:val="single"/>
        </w:rPr>
        <w:t xml:space="preserve">                                      </w:t>
      </w:r>
    </w:p>
    <w:p w:rsidR="007767A6" w:rsidRPr="00444D04" w:rsidRDefault="007767A6" w:rsidP="003241C4">
      <w:pPr>
        <w:tabs>
          <w:tab w:val="left" w:pos="180"/>
        </w:tabs>
        <w:autoSpaceDE w:val="0"/>
        <w:autoSpaceDN w:val="0"/>
        <w:spacing w:line="800" w:lineRule="exact"/>
        <w:textAlignment w:val="bottom"/>
        <w:rPr>
          <w:rFonts w:ascii="黑体" w:eastAsia="黑体" w:hAnsi="黑体"/>
          <w:b/>
          <w:sz w:val="36"/>
          <w:szCs w:val="36"/>
          <w:u w:val="single"/>
        </w:rPr>
      </w:pPr>
    </w:p>
    <w:p w:rsidR="003241C4" w:rsidRDefault="00DC6ADD" w:rsidP="003241C4">
      <w:pPr>
        <w:tabs>
          <w:tab w:val="left" w:pos="180"/>
        </w:tabs>
        <w:autoSpaceDE w:val="0"/>
        <w:autoSpaceDN w:val="0"/>
        <w:spacing w:line="800" w:lineRule="exact"/>
        <w:textAlignment w:val="bottom"/>
        <w:rPr>
          <w:rFonts w:ascii="黑体" w:eastAsia="黑体" w:hAnsi="黑体"/>
          <w:b/>
          <w:sz w:val="36"/>
          <w:szCs w:val="36"/>
          <w:u w:val="single"/>
        </w:rPr>
      </w:pPr>
      <w:r>
        <w:rPr>
          <w:rFonts w:ascii="黑体" w:eastAsia="黑体" w:hAnsi="黑体" w:hint="eastAsia"/>
          <w:b/>
          <w:sz w:val="36"/>
          <w:szCs w:val="36"/>
        </w:rPr>
        <w:t>校</w:t>
      </w:r>
      <w:r w:rsidR="007767A6" w:rsidRPr="00444D04">
        <w:rPr>
          <w:rFonts w:ascii="黑体" w:eastAsia="黑体" w:hAnsi="黑体" w:hint="eastAsia"/>
          <w:b/>
          <w:sz w:val="36"/>
          <w:szCs w:val="36"/>
        </w:rPr>
        <w:t xml:space="preserve">    </w:t>
      </w:r>
      <w:r>
        <w:rPr>
          <w:rFonts w:ascii="黑体" w:eastAsia="黑体" w:hAnsi="黑体" w:hint="eastAsia"/>
          <w:b/>
          <w:sz w:val="36"/>
          <w:szCs w:val="36"/>
        </w:rPr>
        <w:t>核</w:t>
      </w:r>
      <w:r w:rsidR="007767A6" w:rsidRPr="00444D04">
        <w:rPr>
          <w:rFonts w:ascii="黑体" w:eastAsia="黑体" w:hAnsi="黑体" w:hint="eastAsia"/>
          <w:b/>
          <w:sz w:val="36"/>
          <w:szCs w:val="36"/>
        </w:rPr>
        <w:t>：</w:t>
      </w:r>
      <w:r w:rsidR="007767A6" w:rsidRPr="00444D04">
        <w:rPr>
          <w:rFonts w:ascii="黑体" w:eastAsia="黑体" w:hAnsi="黑体" w:hint="eastAsia"/>
          <w:b/>
          <w:sz w:val="36"/>
          <w:szCs w:val="36"/>
          <w:u w:val="single"/>
        </w:rPr>
        <w:t xml:space="preserve">                                    </w:t>
      </w:r>
    </w:p>
    <w:p w:rsidR="007767A6" w:rsidRPr="00444D04" w:rsidRDefault="007767A6" w:rsidP="003241C4">
      <w:pPr>
        <w:tabs>
          <w:tab w:val="left" w:pos="180"/>
        </w:tabs>
        <w:autoSpaceDE w:val="0"/>
        <w:autoSpaceDN w:val="0"/>
        <w:spacing w:line="800" w:lineRule="exact"/>
        <w:textAlignment w:val="bottom"/>
        <w:rPr>
          <w:rFonts w:ascii="黑体" w:eastAsia="黑体" w:hAnsi="黑体"/>
          <w:b/>
          <w:sz w:val="36"/>
          <w:szCs w:val="36"/>
          <w:u w:val="single"/>
        </w:rPr>
      </w:pPr>
    </w:p>
    <w:p w:rsidR="003241C4" w:rsidRPr="00444D04" w:rsidRDefault="003241C4" w:rsidP="003241C4">
      <w:pPr>
        <w:tabs>
          <w:tab w:val="left" w:pos="7250"/>
        </w:tabs>
        <w:adjustRightInd w:val="0"/>
        <w:snapToGrid w:val="0"/>
        <w:spacing w:line="800" w:lineRule="exact"/>
        <w:rPr>
          <w:rFonts w:ascii="黑体" w:eastAsia="黑体" w:hAnsi="黑体"/>
          <w:b/>
          <w:sz w:val="36"/>
          <w:szCs w:val="36"/>
          <w:u w:val="single"/>
        </w:rPr>
      </w:pPr>
      <w:r w:rsidRPr="00444D04">
        <w:rPr>
          <w:rFonts w:ascii="黑体" w:eastAsia="黑体" w:hAnsi="黑体" w:hint="eastAsia"/>
          <w:b/>
          <w:sz w:val="36"/>
          <w:szCs w:val="36"/>
        </w:rPr>
        <w:t>审    核：</w:t>
      </w:r>
      <w:r w:rsidRPr="00444D04">
        <w:rPr>
          <w:rFonts w:ascii="黑体" w:eastAsia="黑体" w:hAnsi="黑体" w:hint="eastAsia"/>
          <w:b/>
          <w:sz w:val="36"/>
          <w:szCs w:val="36"/>
          <w:u w:val="single"/>
        </w:rPr>
        <w:t xml:space="preserve">                                      </w:t>
      </w:r>
    </w:p>
    <w:p w:rsidR="003241C4" w:rsidRPr="00444D04" w:rsidRDefault="003241C4" w:rsidP="003241C4">
      <w:pPr>
        <w:tabs>
          <w:tab w:val="left" w:pos="7250"/>
        </w:tabs>
        <w:adjustRightInd w:val="0"/>
        <w:snapToGrid w:val="0"/>
        <w:spacing w:line="800" w:lineRule="exact"/>
        <w:rPr>
          <w:rFonts w:ascii="黑体" w:eastAsia="黑体" w:hAnsi="黑体"/>
          <w:b/>
          <w:sz w:val="36"/>
          <w:szCs w:val="36"/>
        </w:rPr>
      </w:pPr>
    </w:p>
    <w:p w:rsidR="003241C4" w:rsidRPr="00444D04" w:rsidRDefault="003241C4" w:rsidP="003241C4">
      <w:pPr>
        <w:adjustRightInd w:val="0"/>
        <w:snapToGrid w:val="0"/>
        <w:spacing w:line="800" w:lineRule="exact"/>
        <w:rPr>
          <w:rFonts w:ascii="黑体" w:eastAsia="黑体" w:hAnsi="黑体"/>
          <w:b/>
          <w:sz w:val="36"/>
          <w:szCs w:val="36"/>
          <w:u w:val="single"/>
        </w:rPr>
      </w:pPr>
      <w:r w:rsidRPr="00444D04">
        <w:rPr>
          <w:rFonts w:ascii="黑体" w:eastAsia="黑体" w:hAnsi="黑体" w:hint="eastAsia"/>
          <w:b/>
          <w:sz w:val="36"/>
          <w:szCs w:val="36"/>
        </w:rPr>
        <w:t>批    准：</w:t>
      </w:r>
      <w:r w:rsidRPr="00444D04">
        <w:rPr>
          <w:rFonts w:ascii="黑体" w:eastAsia="黑体" w:hAnsi="黑体" w:hint="eastAsia"/>
          <w:b/>
          <w:sz w:val="36"/>
          <w:szCs w:val="36"/>
          <w:u w:val="single"/>
        </w:rPr>
        <w:t xml:space="preserve">                                      </w:t>
      </w:r>
    </w:p>
    <w:p w:rsidR="003241C4" w:rsidRPr="00444D04" w:rsidRDefault="003241C4" w:rsidP="003241C4">
      <w:pPr>
        <w:tabs>
          <w:tab w:val="left" w:pos="1548"/>
        </w:tabs>
        <w:autoSpaceDE w:val="0"/>
        <w:autoSpaceDN w:val="0"/>
        <w:adjustRightInd w:val="0"/>
        <w:snapToGrid w:val="0"/>
        <w:spacing w:line="700" w:lineRule="exact"/>
        <w:jc w:val="center"/>
        <w:textAlignment w:val="bottom"/>
        <w:rPr>
          <w:rFonts w:ascii="黑体" w:eastAsia="黑体" w:hAnsi="黑体"/>
          <w:b/>
          <w:sz w:val="36"/>
          <w:szCs w:val="36"/>
        </w:rPr>
      </w:pPr>
    </w:p>
    <w:p w:rsidR="003241C4" w:rsidRPr="00444D04" w:rsidRDefault="003241C4" w:rsidP="003241C4">
      <w:pPr>
        <w:tabs>
          <w:tab w:val="left" w:pos="1548"/>
        </w:tabs>
        <w:autoSpaceDE w:val="0"/>
        <w:autoSpaceDN w:val="0"/>
        <w:adjustRightInd w:val="0"/>
        <w:snapToGrid w:val="0"/>
        <w:spacing w:line="700" w:lineRule="exact"/>
        <w:jc w:val="center"/>
        <w:textAlignment w:val="bottom"/>
        <w:rPr>
          <w:rFonts w:ascii="黑体" w:eastAsia="黑体" w:hAnsi="黑体"/>
          <w:b/>
          <w:sz w:val="36"/>
          <w:szCs w:val="36"/>
        </w:rPr>
      </w:pPr>
    </w:p>
    <w:p w:rsidR="003241C4" w:rsidRPr="00444D04" w:rsidRDefault="003241C4" w:rsidP="003241C4">
      <w:pPr>
        <w:tabs>
          <w:tab w:val="left" w:pos="1548"/>
        </w:tabs>
        <w:autoSpaceDE w:val="0"/>
        <w:autoSpaceDN w:val="0"/>
        <w:adjustRightInd w:val="0"/>
        <w:snapToGrid w:val="0"/>
        <w:spacing w:line="700" w:lineRule="exact"/>
        <w:jc w:val="center"/>
        <w:textAlignment w:val="bottom"/>
        <w:rPr>
          <w:rFonts w:ascii="黑体" w:eastAsia="黑体" w:hAnsi="黑体"/>
          <w:b/>
          <w:sz w:val="36"/>
          <w:szCs w:val="36"/>
        </w:rPr>
      </w:pPr>
      <w:r w:rsidRPr="00444D04">
        <w:rPr>
          <w:rFonts w:ascii="黑体" w:eastAsia="黑体" w:hAnsi="黑体" w:hint="eastAsia"/>
          <w:b/>
          <w:sz w:val="36"/>
          <w:szCs w:val="36"/>
        </w:rPr>
        <w:t>陕西未来能源化工有限公司</w:t>
      </w:r>
    </w:p>
    <w:p w:rsidR="00E05AE3" w:rsidRDefault="003241C4" w:rsidP="003241C4">
      <w:pPr>
        <w:jc w:val="center"/>
        <w:rPr>
          <w:rFonts w:ascii="黑体" w:eastAsia="黑体" w:hAnsi="黑体"/>
          <w:b/>
          <w:sz w:val="36"/>
          <w:szCs w:val="36"/>
        </w:rPr>
      </w:pPr>
      <w:r w:rsidRPr="00444D04">
        <w:rPr>
          <w:rFonts w:ascii="黑体" w:eastAsia="黑体" w:hAnsi="黑体" w:hint="eastAsia"/>
          <w:b/>
          <w:sz w:val="36"/>
          <w:szCs w:val="36"/>
        </w:rPr>
        <w:t>201</w:t>
      </w:r>
      <w:r w:rsidR="00EF2B79">
        <w:rPr>
          <w:rFonts w:ascii="黑体" w:eastAsia="黑体" w:hAnsi="黑体" w:hint="eastAsia"/>
          <w:b/>
          <w:sz w:val="36"/>
          <w:szCs w:val="36"/>
        </w:rPr>
        <w:t>8</w:t>
      </w:r>
      <w:r w:rsidRPr="00444D04">
        <w:rPr>
          <w:rFonts w:ascii="黑体" w:eastAsia="黑体" w:hAnsi="黑体" w:hint="eastAsia"/>
          <w:b/>
          <w:sz w:val="36"/>
          <w:szCs w:val="36"/>
        </w:rPr>
        <w:t>年</w:t>
      </w:r>
      <w:r w:rsidR="00EF2B79">
        <w:rPr>
          <w:rFonts w:ascii="黑体" w:eastAsia="黑体" w:hAnsi="黑体" w:hint="eastAsia"/>
          <w:b/>
          <w:sz w:val="36"/>
          <w:szCs w:val="36"/>
        </w:rPr>
        <w:t>7</w:t>
      </w:r>
      <w:r w:rsidRPr="00444D04">
        <w:rPr>
          <w:rFonts w:ascii="黑体" w:eastAsia="黑体" w:hAnsi="黑体" w:hint="eastAsia"/>
          <w:b/>
          <w:sz w:val="36"/>
          <w:szCs w:val="36"/>
        </w:rPr>
        <w:t>月</w:t>
      </w:r>
    </w:p>
    <w:p w:rsidR="003241C4" w:rsidRDefault="003241C4" w:rsidP="003241C4">
      <w:pPr>
        <w:jc w:val="center"/>
        <w:rPr>
          <w:rFonts w:ascii="黑体" w:eastAsia="黑体" w:hAnsi="黑体"/>
          <w:b/>
          <w:sz w:val="36"/>
          <w:szCs w:val="36"/>
        </w:rPr>
      </w:pPr>
    </w:p>
    <w:p w:rsidR="003241C4" w:rsidRDefault="003241C4" w:rsidP="003241C4">
      <w:pPr>
        <w:widowControl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/>
          <w:b/>
          <w:sz w:val="36"/>
          <w:szCs w:val="36"/>
        </w:rPr>
        <w:br w:type="page"/>
      </w:r>
      <w:r>
        <w:rPr>
          <w:rFonts w:ascii="黑体" w:eastAsia="黑体" w:hAnsi="黑体" w:hint="eastAsia"/>
          <w:b/>
          <w:sz w:val="36"/>
          <w:szCs w:val="36"/>
        </w:rPr>
        <w:lastRenderedPageBreak/>
        <w:t>目  录</w:t>
      </w:r>
    </w:p>
    <w:p w:rsidR="00DE70E8" w:rsidRPr="00DE70E8" w:rsidRDefault="00342286">
      <w:pPr>
        <w:pStyle w:val="10"/>
        <w:tabs>
          <w:tab w:val="right" w:leader="dot" w:pos="8296"/>
        </w:tabs>
        <w:rPr>
          <w:noProof/>
          <w:sz w:val="28"/>
          <w:szCs w:val="28"/>
        </w:rPr>
      </w:pPr>
      <w:r w:rsidRPr="00DE70E8">
        <w:rPr>
          <w:rFonts w:ascii="黑体" w:eastAsia="黑体" w:hAnsi="黑体"/>
          <w:b/>
          <w:sz w:val="28"/>
          <w:szCs w:val="28"/>
        </w:rPr>
        <w:fldChar w:fldCharType="begin"/>
      </w:r>
      <w:r w:rsidR="00DE70E8" w:rsidRPr="00DE70E8">
        <w:rPr>
          <w:rFonts w:ascii="黑体" w:eastAsia="黑体" w:hAnsi="黑体"/>
          <w:b/>
          <w:sz w:val="28"/>
          <w:szCs w:val="28"/>
        </w:rPr>
        <w:instrText xml:space="preserve"> TOC \o "1-3" \h \z \u </w:instrText>
      </w:r>
      <w:r w:rsidRPr="00DE70E8">
        <w:rPr>
          <w:rFonts w:ascii="黑体" w:eastAsia="黑体" w:hAnsi="黑体"/>
          <w:b/>
          <w:sz w:val="28"/>
          <w:szCs w:val="28"/>
        </w:rPr>
        <w:fldChar w:fldCharType="separate"/>
      </w:r>
      <w:hyperlink w:anchor="_Toc449616055" w:history="1">
        <w:r w:rsidR="00DE70E8" w:rsidRPr="00DE70E8">
          <w:rPr>
            <w:rStyle w:val="aa"/>
            <w:noProof/>
            <w:sz w:val="28"/>
            <w:szCs w:val="28"/>
          </w:rPr>
          <w:t>1</w:t>
        </w:r>
        <w:r w:rsidR="00DE70E8" w:rsidRPr="00DE70E8">
          <w:rPr>
            <w:rStyle w:val="aa"/>
            <w:rFonts w:hint="eastAsia"/>
            <w:noProof/>
            <w:sz w:val="28"/>
            <w:szCs w:val="28"/>
          </w:rPr>
          <w:t>总则</w:t>
        </w:r>
        <w:r w:rsidR="00DE70E8" w:rsidRPr="00DE70E8">
          <w:rPr>
            <w:noProof/>
            <w:webHidden/>
            <w:sz w:val="28"/>
            <w:szCs w:val="28"/>
          </w:rPr>
          <w:tab/>
        </w:r>
        <w:r w:rsidRPr="00DE70E8">
          <w:rPr>
            <w:noProof/>
            <w:webHidden/>
            <w:sz w:val="28"/>
            <w:szCs w:val="28"/>
          </w:rPr>
          <w:fldChar w:fldCharType="begin"/>
        </w:r>
        <w:r w:rsidR="00DE70E8" w:rsidRPr="00DE70E8">
          <w:rPr>
            <w:noProof/>
            <w:webHidden/>
            <w:sz w:val="28"/>
            <w:szCs w:val="28"/>
          </w:rPr>
          <w:instrText xml:space="preserve"> PAGEREF _Toc449616055 \h </w:instrText>
        </w:r>
        <w:r w:rsidRPr="00DE70E8">
          <w:rPr>
            <w:noProof/>
            <w:webHidden/>
            <w:sz w:val="28"/>
            <w:szCs w:val="28"/>
          </w:rPr>
        </w:r>
        <w:r w:rsidRPr="00DE70E8">
          <w:rPr>
            <w:noProof/>
            <w:webHidden/>
            <w:sz w:val="28"/>
            <w:szCs w:val="28"/>
          </w:rPr>
          <w:fldChar w:fldCharType="separate"/>
        </w:r>
        <w:r w:rsidR="00890AEC">
          <w:rPr>
            <w:noProof/>
            <w:webHidden/>
            <w:sz w:val="28"/>
            <w:szCs w:val="28"/>
          </w:rPr>
          <w:t>1</w:t>
        </w:r>
        <w:r w:rsidRPr="00DE70E8">
          <w:rPr>
            <w:noProof/>
            <w:webHidden/>
            <w:sz w:val="28"/>
            <w:szCs w:val="28"/>
          </w:rPr>
          <w:fldChar w:fldCharType="end"/>
        </w:r>
      </w:hyperlink>
    </w:p>
    <w:p w:rsidR="00DE70E8" w:rsidRPr="00DE70E8" w:rsidRDefault="00342286">
      <w:pPr>
        <w:pStyle w:val="10"/>
        <w:tabs>
          <w:tab w:val="right" w:leader="dot" w:pos="8296"/>
        </w:tabs>
        <w:rPr>
          <w:noProof/>
          <w:sz w:val="28"/>
          <w:szCs w:val="28"/>
        </w:rPr>
      </w:pPr>
      <w:hyperlink w:anchor="_Toc449616056" w:history="1">
        <w:r w:rsidR="00DE70E8" w:rsidRPr="00DE70E8">
          <w:rPr>
            <w:rStyle w:val="aa"/>
            <w:noProof/>
            <w:sz w:val="28"/>
            <w:szCs w:val="28"/>
          </w:rPr>
          <w:t>2</w:t>
        </w:r>
        <w:r w:rsidR="00DE70E8" w:rsidRPr="00DE70E8">
          <w:rPr>
            <w:rStyle w:val="aa"/>
            <w:rFonts w:hint="eastAsia"/>
            <w:noProof/>
            <w:sz w:val="28"/>
            <w:szCs w:val="28"/>
          </w:rPr>
          <w:t>适用的标准及文件</w:t>
        </w:r>
        <w:r w:rsidR="00DE70E8" w:rsidRPr="00DE70E8">
          <w:rPr>
            <w:noProof/>
            <w:webHidden/>
            <w:sz w:val="28"/>
            <w:szCs w:val="28"/>
          </w:rPr>
          <w:tab/>
        </w:r>
        <w:r w:rsidRPr="00DE70E8">
          <w:rPr>
            <w:noProof/>
            <w:webHidden/>
            <w:sz w:val="28"/>
            <w:szCs w:val="28"/>
          </w:rPr>
          <w:fldChar w:fldCharType="begin"/>
        </w:r>
        <w:r w:rsidR="00DE70E8" w:rsidRPr="00DE70E8">
          <w:rPr>
            <w:noProof/>
            <w:webHidden/>
            <w:sz w:val="28"/>
            <w:szCs w:val="28"/>
          </w:rPr>
          <w:instrText xml:space="preserve"> PAGEREF _Toc449616056 \h </w:instrText>
        </w:r>
        <w:r w:rsidRPr="00DE70E8">
          <w:rPr>
            <w:noProof/>
            <w:webHidden/>
            <w:sz w:val="28"/>
            <w:szCs w:val="28"/>
          </w:rPr>
        </w:r>
        <w:r w:rsidRPr="00DE70E8">
          <w:rPr>
            <w:noProof/>
            <w:webHidden/>
            <w:sz w:val="28"/>
            <w:szCs w:val="28"/>
          </w:rPr>
          <w:fldChar w:fldCharType="separate"/>
        </w:r>
        <w:r w:rsidR="00890AEC">
          <w:rPr>
            <w:noProof/>
            <w:webHidden/>
            <w:sz w:val="28"/>
            <w:szCs w:val="28"/>
          </w:rPr>
          <w:t>1</w:t>
        </w:r>
        <w:r w:rsidRPr="00DE70E8">
          <w:rPr>
            <w:noProof/>
            <w:webHidden/>
            <w:sz w:val="28"/>
            <w:szCs w:val="28"/>
          </w:rPr>
          <w:fldChar w:fldCharType="end"/>
        </w:r>
      </w:hyperlink>
    </w:p>
    <w:p w:rsidR="00DE70E8" w:rsidRPr="00DE70E8" w:rsidRDefault="00342286">
      <w:pPr>
        <w:pStyle w:val="10"/>
        <w:tabs>
          <w:tab w:val="right" w:leader="dot" w:pos="8296"/>
        </w:tabs>
        <w:rPr>
          <w:noProof/>
          <w:sz w:val="28"/>
          <w:szCs w:val="28"/>
        </w:rPr>
      </w:pPr>
      <w:hyperlink w:anchor="_Toc449616057" w:history="1">
        <w:r w:rsidR="00DE70E8" w:rsidRPr="00DE70E8">
          <w:rPr>
            <w:rStyle w:val="aa"/>
            <w:noProof/>
            <w:sz w:val="28"/>
            <w:szCs w:val="28"/>
          </w:rPr>
          <w:t>3</w:t>
        </w:r>
        <w:r w:rsidR="00DE70E8" w:rsidRPr="00DE70E8">
          <w:rPr>
            <w:rStyle w:val="aa"/>
            <w:rFonts w:hint="eastAsia"/>
            <w:noProof/>
            <w:sz w:val="28"/>
            <w:szCs w:val="28"/>
          </w:rPr>
          <w:t>投标方供货范围和工作范围</w:t>
        </w:r>
        <w:r w:rsidR="00DE70E8" w:rsidRPr="00DE70E8">
          <w:rPr>
            <w:noProof/>
            <w:webHidden/>
            <w:sz w:val="28"/>
            <w:szCs w:val="28"/>
          </w:rPr>
          <w:tab/>
        </w:r>
        <w:r w:rsidRPr="00DE70E8">
          <w:rPr>
            <w:noProof/>
            <w:webHidden/>
            <w:sz w:val="28"/>
            <w:szCs w:val="28"/>
          </w:rPr>
          <w:fldChar w:fldCharType="begin"/>
        </w:r>
        <w:r w:rsidR="00DE70E8" w:rsidRPr="00DE70E8">
          <w:rPr>
            <w:noProof/>
            <w:webHidden/>
            <w:sz w:val="28"/>
            <w:szCs w:val="28"/>
          </w:rPr>
          <w:instrText xml:space="preserve"> PAGEREF _Toc449616057 \h </w:instrText>
        </w:r>
        <w:r w:rsidRPr="00DE70E8">
          <w:rPr>
            <w:noProof/>
            <w:webHidden/>
            <w:sz w:val="28"/>
            <w:szCs w:val="28"/>
          </w:rPr>
        </w:r>
        <w:r w:rsidRPr="00DE70E8">
          <w:rPr>
            <w:noProof/>
            <w:webHidden/>
            <w:sz w:val="28"/>
            <w:szCs w:val="28"/>
          </w:rPr>
          <w:fldChar w:fldCharType="separate"/>
        </w:r>
        <w:r w:rsidR="00890AEC">
          <w:rPr>
            <w:noProof/>
            <w:webHidden/>
            <w:sz w:val="28"/>
            <w:szCs w:val="28"/>
          </w:rPr>
          <w:t>1</w:t>
        </w:r>
        <w:r w:rsidRPr="00DE70E8">
          <w:rPr>
            <w:noProof/>
            <w:webHidden/>
            <w:sz w:val="28"/>
            <w:szCs w:val="28"/>
          </w:rPr>
          <w:fldChar w:fldCharType="end"/>
        </w:r>
      </w:hyperlink>
    </w:p>
    <w:p w:rsidR="00DE70E8" w:rsidRPr="00DE70E8" w:rsidRDefault="00342286">
      <w:pPr>
        <w:pStyle w:val="10"/>
        <w:tabs>
          <w:tab w:val="right" w:leader="dot" w:pos="8296"/>
        </w:tabs>
        <w:rPr>
          <w:noProof/>
          <w:sz w:val="28"/>
          <w:szCs w:val="28"/>
        </w:rPr>
      </w:pPr>
      <w:hyperlink w:anchor="_Toc449616058" w:history="1">
        <w:r w:rsidR="00DE70E8" w:rsidRPr="00DE70E8">
          <w:rPr>
            <w:rStyle w:val="aa"/>
            <w:noProof/>
            <w:sz w:val="28"/>
            <w:szCs w:val="28"/>
          </w:rPr>
          <w:t>4</w:t>
        </w:r>
        <w:r w:rsidR="00DE70E8" w:rsidRPr="00DE70E8">
          <w:rPr>
            <w:rStyle w:val="aa"/>
            <w:rFonts w:hint="eastAsia"/>
            <w:noProof/>
            <w:sz w:val="28"/>
            <w:szCs w:val="28"/>
          </w:rPr>
          <w:t>技术要求</w:t>
        </w:r>
        <w:r w:rsidR="00DE70E8" w:rsidRPr="00DE70E8">
          <w:rPr>
            <w:noProof/>
            <w:webHidden/>
            <w:sz w:val="28"/>
            <w:szCs w:val="28"/>
          </w:rPr>
          <w:tab/>
        </w:r>
        <w:r w:rsidRPr="00DE70E8">
          <w:rPr>
            <w:noProof/>
            <w:webHidden/>
            <w:sz w:val="28"/>
            <w:szCs w:val="28"/>
          </w:rPr>
          <w:fldChar w:fldCharType="begin"/>
        </w:r>
        <w:r w:rsidR="00DE70E8" w:rsidRPr="00DE70E8">
          <w:rPr>
            <w:noProof/>
            <w:webHidden/>
            <w:sz w:val="28"/>
            <w:szCs w:val="28"/>
          </w:rPr>
          <w:instrText xml:space="preserve"> PAGEREF _Toc449616058 \h </w:instrText>
        </w:r>
        <w:r w:rsidRPr="00DE70E8">
          <w:rPr>
            <w:noProof/>
            <w:webHidden/>
            <w:sz w:val="28"/>
            <w:szCs w:val="28"/>
          </w:rPr>
        </w:r>
        <w:r w:rsidRPr="00DE70E8">
          <w:rPr>
            <w:noProof/>
            <w:webHidden/>
            <w:sz w:val="28"/>
            <w:szCs w:val="28"/>
          </w:rPr>
          <w:fldChar w:fldCharType="separate"/>
        </w:r>
        <w:r w:rsidR="00890AEC">
          <w:rPr>
            <w:noProof/>
            <w:webHidden/>
            <w:sz w:val="28"/>
            <w:szCs w:val="28"/>
          </w:rPr>
          <w:t>1</w:t>
        </w:r>
        <w:r w:rsidRPr="00DE70E8">
          <w:rPr>
            <w:noProof/>
            <w:webHidden/>
            <w:sz w:val="28"/>
            <w:szCs w:val="28"/>
          </w:rPr>
          <w:fldChar w:fldCharType="end"/>
        </w:r>
      </w:hyperlink>
    </w:p>
    <w:p w:rsidR="00DE70E8" w:rsidRPr="00DE70E8" w:rsidRDefault="00342286">
      <w:pPr>
        <w:pStyle w:val="10"/>
        <w:tabs>
          <w:tab w:val="right" w:leader="dot" w:pos="8296"/>
        </w:tabs>
        <w:rPr>
          <w:noProof/>
          <w:sz w:val="28"/>
          <w:szCs w:val="28"/>
        </w:rPr>
      </w:pPr>
      <w:hyperlink w:anchor="_Toc449616059" w:history="1">
        <w:r w:rsidR="00DE70E8" w:rsidRPr="00DE70E8">
          <w:rPr>
            <w:rStyle w:val="aa"/>
            <w:noProof/>
            <w:sz w:val="28"/>
            <w:szCs w:val="28"/>
          </w:rPr>
          <w:t>5</w:t>
        </w:r>
        <w:r w:rsidR="00DE70E8" w:rsidRPr="00DE70E8">
          <w:rPr>
            <w:rStyle w:val="aa"/>
            <w:rFonts w:hint="eastAsia"/>
            <w:noProof/>
            <w:sz w:val="28"/>
            <w:szCs w:val="28"/>
          </w:rPr>
          <w:t>检测检验</w:t>
        </w:r>
        <w:r w:rsidR="00DE70E8" w:rsidRPr="00DE70E8">
          <w:rPr>
            <w:noProof/>
            <w:webHidden/>
            <w:sz w:val="28"/>
            <w:szCs w:val="28"/>
          </w:rPr>
          <w:tab/>
        </w:r>
        <w:r w:rsidRPr="00DE70E8">
          <w:rPr>
            <w:noProof/>
            <w:webHidden/>
            <w:sz w:val="28"/>
            <w:szCs w:val="28"/>
          </w:rPr>
          <w:fldChar w:fldCharType="begin"/>
        </w:r>
        <w:r w:rsidR="00DE70E8" w:rsidRPr="00DE70E8">
          <w:rPr>
            <w:noProof/>
            <w:webHidden/>
            <w:sz w:val="28"/>
            <w:szCs w:val="28"/>
          </w:rPr>
          <w:instrText xml:space="preserve"> PAGEREF _Toc449616059 \h </w:instrText>
        </w:r>
        <w:r w:rsidRPr="00DE70E8">
          <w:rPr>
            <w:noProof/>
            <w:webHidden/>
            <w:sz w:val="28"/>
            <w:szCs w:val="28"/>
          </w:rPr>
        </w:r>
        <w:r w:rsidRPr="00DE70E8">
          <w:rPr>
            <w:noProof/>
            <w:webHidden/>
            <w:sz w:val="28"/>
            <w:szCs w:val="28"/>
          </w:rPr>
          <w:fldChar w:fldCharType="separate"/>
        </w:r>
        <w:r w:rsidR="00890AEC">
          <w:rPr>
            <w:noProof/>
            <w:webHidden/>
            <w:sz w:val="28"/>
            <w:szCs w:val="28"/>
          </w:rPr>
          <w:t>2</w:t>
        </w:r>
        <w:r w:rsidRPr="00DE70E8">
          <w:rPr>
            <w:noProof/>
            <w:webHidden/>
            <w:sz w:val="28"/>
            <w:szCs w:val="28"/>
          </w:rPr>
          <w:fldChar w:fldCharType="end"/>
        </w:r>
      </w:hyperlink>
    </w:p>
    <w:p w:rsidR="00DE70E8" w:rsidRPr="00DE70E8" w:rsidRDefault="00342286">
      <w:pPr>
        <w:pStyle w:val="10"/>
        <w:tabs>
          <w:tab w:val="right" w:leader="dot" w:pos="8296"/>
        </w:tabs>
        <w:rPr>
          <w:noProof/>
          <w:sz w:val="28"/>
          <w:szCs w:val="28"/>
        </w:rPr>
      </w:pPr>
      <w:hyperlink w:anchor="_Toc449616060" w:history="1">
        <w:r w:rsidR="00DE70E8" w:rsidRPr="00DE70E8">
          <w:rPr>
            <w:rStyle w:val="aa"/>
            <w:noProof/>
            <w:sz w:val="28"/>
            <w:szCs w:val="28"/>
          </w:rPr>
          <w:t>6</w:t>
        </w:r>
        <w:r w:rsidR="00DE70E8" w:rsidRPr="00DE70E8">
          <w:rPr>
            <w:rStyle w:val="aa"/>
            <w:rFonts w:hint="eastAsia"/>
            <w:noProof/>
            <w:sz w:val="28"/>
            <w:szCs w:val="28"/>
          </w:rPr>
          <w:t>贮存与运输</w:t>
        </w:r>
        <w:r w:rsidR="00DE70E8" w:rsidRPr="00DE70E8">
          <w:rPr>
            <w:noProof/>
            <w:webHidden/>
            <w:sz w:val="28"/>
            <w:szCs w:val="28"/>
          </w:rPr>
          <w:tab/>
        </w:r>
        <w:r w:rsidRPr="00DE70E8">
          <w:rPr>
            <w:noProof/>
            <w:webHidden/>
            <w:sz w:val="28"/>
            <w:szCs w:val="28"/>
          </w:rPr>
          <w:fldChar w:fldCharType="begin"/>
        </w:r>
        <w:r w:rsidR="00DE70E8" w:rsidRPr="00DE70E8">
          <w:rPr>
            <w:noProof/>
            <w:webHidden/>
            <w:sz w:val="28"/>
            <w:szCs w:val="28"/>
          </w:rPr>
          <w:instrText xml:space="preserve"> PAGEREF _Toc449616060 \h </w:instrText>
        </w:r>
        <w:r w:rsidRPr="00DE70E8">
          <w:rPr>
            <w:noProof/>
            <w:webHidden/>
            <w:sz w:val="28"/>
            <w:szCs w:val="28"/>
          </w:rPr>
        </w:r>
        <w:r w:rsidRPr="00DE70E8">
          <w:rPr>
            <w:noProof/>
            <w:webHidden/>
            <w:sz w:val="28"/>
            <w:szCs w:val="28"/>
          </w:rPr>
          <w:fldChar w:fldCharType="separate"/>
        </w:r>
        <w:r w:rsidR="00890AEC">
          <w:rPr>
            <w:noProof/>
            <w:webHidden/>
            <w:sz w:val="28"/>
            <w:szCs w:val="28"/>
          </w:rPr>
          <w:t>2</w:t>
        </w:r>
        <w:r w:rsidRPr="00DE70E8">
          <w:rPr>
            <w:noProof/>
            <w:webHidden/>
            <w:sz w:val="28"/>
            <w:szCs w:val="28"/>
          </w:rPr>
          <w:fldChar w:fldCharType="end"/>
        </w:r>
      </w:hyperlink>
    </w:p>
    <w:p w:rsidR="00DE70E8" w:rsidRPr="00DE70E8" w:rsidRDefault="00342286">
      <w:pPr>
        <w:pStyle w:val="10"/>
        <w:tabs>
          <w:tab w:val="right" w:leader="dot" w:pos="8296"/>
        </w:tabs>
        <w:rPr>
          <w:noProof/>
          <w:sz w:val="28"/>
          <w:szCs w:val="28"/>
        </w:rPr>
      </w:pPr>
      <w:hyperlink w:anchor="_Toc449616061" w:history="1">
        <w:r w:rsidR="00DE70E8" w:rsidRPr="00DE70E8">
          <w:rPr>
            <w:rStyle w:val="aa"/>
            <w:noProof/>
            <w:sz w:val="28"/>
            <w:szCs w:val="28"/>
          </w:rPr>
          <w:t>7</w:t>
        </w:r>
        <w:r w:rsidR="00DE70E8" w:rsidRPr="00DE70E8">
          <w:rPr>
            <w:rStyle w:val="aa"/>
            <w:rFonts w:hint="eastAsia"/>
            <w:noProof/>
            <w:sz w:val="28"/>
            <w:szCs w:val="28"/>
          </w:rPr>
          <w:t>产品质量保证及考核</w:t>
        </w:r>
        <w:r w:rsidR="00DE70E8" w:rsidRPr="00DE70E8">
          <w:rPr>
            <w:noProof/>
            <w:webHidden/>
            <w:sz w:val="28"/>
            <w:szCs w:val="28"/>
          </w:rPr>
          <w:tab/>
        </w:r>
        <w:r w:rsidRPr="00DE70E8">
          <w:rPr>
            <w:noProof/>
            <w:webHidden/>
            <w:sz w:val="28"/>
            <w:szCs w:val="28"/>
          </w:rPr>
          <w:fldChar w:fldCharType="begin"/>
        </w:r>
        <w:r w:rsidR="00DE70E8" w:rsidRPr="00DE70E8">
          <w:rPr>
            <w:noProof/>
            <w:webHidden/>
            <w:sz w:val="28"/>
            <w:szCs w:val="28"/>
          </w:rPr>
          <w:instrText xml:space="preserve"> PAGEREF _Toc449616061 \h </w:instrText>
        </w:r>
        <w:r w:rsidRPr="00DE70E8">
          <w:rPr>
            <w:noProof/>
            <w:webHidden/>
            <w:sz w:val="28"/>
            <w:szCs w:val="28"/>
          </w:rPr>
        </w:r>
        <w:r w:rsidRPr="00DE70E8">
          <w:rPr>
            <w:noProof/>
            <w:webHidden/>
            <w:sz w:val="28"/>
            <w:szCs w:val="28"/>
          </w:rPr>
          <w:fldChar w:fldCharType="separate"/>
        </w:r>
        <w:r w:rsidR="00890AEC">
          <w:rPr>
            <w:noProof/>
            <w:webHidden/>
            <w:sz w:val="28"/>
            <w:szCs w:val="28"/>
          </w:rPr>
          <w:t>2</w:t>
        </w:r>
        <w:r w:rsidRPr="00DE70E8">
          <w:rPr>
            <w:noProof/>
            <w:webHidden/>
            <w:sz w:val="28"/>
            <w:szCs w:val="28"/>
          </w:rPr>
          <w:fldChar w:fldCharType="end"/>
        </w:r>
      </w:hyperlink>
    </w:p>
    <w:p w:rsidR="00DE70E8" w:rsidRPr="00DE70E8" w:rsidRDefault="00342286">
      <w:pPr>
        <w:pStyle w:val="10"/>
        <w:tabs>
          <w:tab w:val="right" w:leader="dot" w:pos="8296"/>
        </w:tabs>
        <w:rPr>
          <w:noProof/>
          <w:sz w:val="28"/>
          <w:szCs w:val="28"/>
        </w:rPr>
      </w:pPr>
      <w:hyperlink w:anchor="_Toc449616062" w:history="1">
        <w:r w:rsidR="00DE70E8" w:rsidRPr="00DE70E8">
          <w:rPr>
            <w:rStyle w:val="aa"/>
            <w:noProof/>
            <w:sz w:val="28"/>
            <w:szCs w:val="28"/>
          </w:rPr>
          <w:t>8</w:t>
        </w:r>
        <w:r w:rsidR="00DE70E8" w:rsidRPr="00DE70E8">
          <w:rPr>
            <w:rStyle w:val="aa"/>
            <w:rFonts w:hint="eastAsia"/>
            <w:noProof/>
            <w:sz w:val="28"/>
            <w:szCs w:val="28"/>
          </w:rPr>
          <w:t>产品交付</w:t>
        </w:r>
        <w:r w:rsidR="00DE70E8" w:rsidRPr="00DE70E8">
          <w:rPr>
            <w:noProof/>
            <w:webHidden/>
            <w:sz w:val="28"/>
            <w:szCs w:val="28"/>
          </w:rPr>
          <w:tab/>
        </w:r>
        <w:r w:rsidRPr="00DE70E8">
          <w:rPr>
            <w:noProof/>
            <w:webHidden/>
            <w:sz w:val="28"/>
            <w:szCs w:val="28"/>
          </w:rPr>
          <w:fldChar w:fldCharType="begin"/>
        </w:r>
        <w:r w:rsidR="00DE70E8" w:rsidRPr="00DE70E8">
          <w:rPr>
            <w:noProof/>
            <w:webHidden/>
            <w:sz w:val="28"/>
            <w:szCs w:val="28"/>
          </w:rPr>
          <w:instrText xml:space="preserve"> PAGEREF _Toc449616062 \h </w:instrText>
        </w:r>
        <w:r w:rsidRPr="00DE70E8">
          <w:rPr>
            <w:noProof/>
            <w:webHidden/>
            <w:sz w:val="28"/>
            <w:szCs w:val="28"/>
          </w:rPr>
        </w:r>
        <w:r w:rsidRPr="00DE70E8">
          <w:rPr>
            <w:noProof/>
            <w:webHidden/>
            <w:sz w:val="28"/>
            <w:szCs w:val="28"/>
          </w:rPr>
          <w:fldChar w:fldCharType="separate"/>
        </w:r>
        <w:r w:rsidR="00890AEC">
          <w:rPr>
            <w:noProof/>
            <w:webHidden/>
            <w:sz w:val="28"/>
            <w:szCs w:val="28"/>
          </w:rPr>
          <w:t>2</w:t>
        </w:r>
        <w:r w:rsidRPr="00DE70E8">
          <w:rPr>
            <w:noProof/>
            <w:webHidden/>
            <w:sz w:val="28"/>
            <w:szCs w:val="28"/>
          </w:rPr>
          <w:fldChar w:fldCharType="end"/>
        </w:r>
      </w:hyperlink>
    </w:p>
    <w:p w:rsidR="003241C4" w:rsidRDefault="00342286" w:rsidP="003241C4">
      <w:pPr>
        <w:widowControl/>
        <w:jc w:val="left"/>
        <w:rPr>
          <w:rFonts w:ascii="黑体" w:eastAsia="黑体" w:hAnsi="黑体"/>
          <w:b/>
          <w:sz w:val="36"/>
          <w:szCs w:val="36"/>
        </w:rPr>
      </w:pPr>
      <w:r w:rsidRPr="00DE70E8">
        <w:rPr>
          <w:rFonts w:ascii="黑体" w:eastAsia="黑体" w:hAnsi="黑体"/>
          <w:b/>
          <w:sz w:val="28"/>
          <w:szCs w:val="28"/>
        </w:rPr>
        <w:fldChar w:fldCharType="end"/>
      </w:r>
    </w:p>
    <w:p w:rsidR="004F2D17" w:rsidRDefault="004F2D17" w:rsidP="003241C4">
      <w:pPr>
        <w:widowControl/>
        <w:jc w:val="left"/>
        <w:rPr>
          <w:rFonts w:ascii="黑体" w:eastAsia="黑体" w:hAnsi="黑体"/>
          <w:b/>
          <w:sz w:val="36"/>
          <w:szCs w:val="36"/>
        </w:rPr>
      </w:pPr>
    </w:p>
    <w:p w:rsidR="004F2D17" w:rsidRDefault="004F2D17" w:rsidP="003241C4">
      <w:pPr>
        <w:widowControl/>
        <w:jc w:val="left"/>
        <w:rPr>
          <w:rFonts w:ascii="黑体" w:eastAsia="黑体" w:hAnsi="黑体"/>
          <w:b/>
          <w:sz w:val="36"/>
          <w:szCs w:val="36"/>
        </w:rPr>
      </w:pPr>
    </w:p>
    <w:p w:rsidR="004F2D17" w:rsidRDefault="004F2D17" w:rsidP="003241C4">
      <w:pPr>
        <w:widowControl/>
        <w:jc w:val="left"/>
        <w:rPr>
          <w:rFonts w:ascii="黑体" w:eastAsia="黑体" w:hAnsi="黑体"/>
          <w:b/>
          <w:sz w:val="36"/>
          <w:szCs w:val="36"/>
        </w:rPr>
      </w:pPr>
    </w:p>
    <w:p w:rsidR="004F2D17" w:rsidRDefault="004F2D17">
      <w:pPr>
        <w:widowControl/>
        <w:jc w:val="left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/>
          <w:b/>
          <w:sz w:val="36"/>
          <w:szCs w:val="36"/>
        </w:rPr>
        <w:br w:type="page"/>
      </w:r>
    </w:p>
    <w:p w:rsidR="00DE70E8" w:rsidRDefault="00DE70E8" w:rsidP="004E5D33">
      <w:pPr>
        <w:pStyle w:val="1"/>
        <w:sectPr w:rsidR="00DE70E8" w:rsidSect="00E05AE3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0" w:name="_Toc449616055"/>
    </w:p>
    <w:p w:rsidR="004F2D17" w:rsidRPr="004F2D17" w:rsidRDefault="004F2D17" w:rsidP="004E5D33">
      <w:pPr>
        <w:pStyle w:val="1"/>
      </w:pPr>
      <w:r w:rsidRPr="004F2D17">
        <w:rPr>
          <w:rFonts w:hint="eastAsia"/>
        </w:rPr>
        <w:lastRenderedPageBreak/>
        <w:t>1</w:t>
      </w:r>
      <w:r w:rsidRPr="004F2D17">
        <w:rPr>
          <w:rFonts w:hint="eastAsia"/>
        </w:rPr>
        <w:t>总则</w:t>
      </w:r>
      <w:bookmarkEnd w:id="0"/>
    </w:p>
    <w:p w:rsidR="004F2D17" w:rsidRDefault="004F2D17" w:rsidP="005D2513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4F2D17">
        <w:rPr>
          <w:rFonts w:asciiTheme="minorEastAsia" w:hAnsiTheme="minorEastAsia" w:hint="eastAsia"/>
          <w:sz w:val="24"/>
          <w:szCs w:val="24"/>
        </w:rPr>
        <w:t>1.1本技术规格书适用于陕西未来能源化工有限公司煤制油分公司</w:t>
      </w:r>
      <w:r w:rsidR="00EF2B79">
        <w:rPr>
          <w:rFonts w:asciiTheme="minorEastAsia" w:hAnsiTheme="minorEastAsia" w:hint="eastAsia"/>
          <w:sz w:val="24"/>
          <w:szCs w:val="24"/>
        </w:rPr>
        <w:t>合成</w:t>
      </w:r>
      <w:r w:rsidRPr="004F2D17">
        <w:rPr>
          <w:rFonts w:asciiTheme="minorEastAsia" w:hAnsiTheme="minorEastAsia" w:hint="eastAsia"/>
          <w:sz w:val="24"/>
          <w:szCs w:val="24"/>
        </w:rPr>
        <w:t>车间所需</w:t>
      </w:r>
      <w:r w:rsidR="00890AEC">
        <w:rPr>
          <w:rFonts w:asciiTheme="minorEastAsia" w:hAnsiTheme="minorEastAsia" w:hint="eastAsia"/>
          <w:sz w:val="24"/>
          <w:szCs w:val="24"/>
        </w:rPr>
        <w:t>1</w:t>
      </w:r>
      <w:r w:rsidR="0079406D">
        <w:rPr>
          <w:rFonts w:asciiTheme="minorEastAsia" w:hAnsiTheme="minorEastAsia" w:hint="eastAsia"/>
          <w:sz w:val="24"/>
          <w:szCs w:val="24"/>
        </w:rPr>
        <w:t>0</w:t>
      </w:r>
      <w:r>
        <w:rPr>
          <w:rFonts w:asciiTheme="minorEastAsia" w:hAnsiTheme="minorEastAsia" w:hint="eastAsia"/>
          <w:sz w:val="24"/>
          <w:szCs w:val="24"/>
        </w:rPr>
        <w:t>00</w:t>
      </w:r>
      <w:r w:rsidRPr="004F2D17">
        <w:rPr>
          <w:rFonts w:asciiTheme="minorEastAsia" w:hAnsiTheme="minorEastAsia" w:hint="eastAsia"/>
          <w:sz w:val="24"/>
          <w:szCs w:val="24"/>
        </w:rPr>
        <w:t>吨</w:t>
      </w:r>
      <w:r>
        <w:rPr>
          <w:rFonts w:asciiTheme="minorEastAsia" w:hAnsiTheme="minorEastAsia" w:hint="eastAsia"/>
          <w:sz w:val="24"/>
          <w:szCs w:val="24"/>
        </w:rPr>
        <w:t>液氮</w:t>
      </w:r>
      <w:r w:rsidRPr="004F2D17">
        <w:rPr>
          <w:rFonts w:asciiTheme="minorEastAsia" w:hAnsiTheme="minorEastAsia" w:hint="eastAsia"/>
          <w:sz w:val="24"/>
          <w:szCs w:val="24"/>
        </w:rPr>
        <w:t>（以下简称“</w:t>
      </w:r>
      <w:r>
        <w:rPr>
          <w:rFonts w:asciiTheme="minorEastAsia" w:hAnsiTheme="minorEastAsia" w:hint="eastAsia"/>
          <w:sz w:val="24"/>
          <w:szCs w:val="24"/>
        </w:rPr>
        <w:t>液氮</w:t>
      </w:r>
      <w:r w:rsidRPr="004F2D17">
        <w:rPr>
          <w:rFonts w:asciiTheme="minorEastAsia" w:hAnsiTheme="minorEastAsia" w:hint="eastAsia"/>
          <w:sz w:val="24"/>
          <w:szCs w:val="24"/>
        </w:rPr>
        <w:t>”）的采购，为</w:t>
      </w:r>
      <w:r>
        <w:rPr>
          <w:rFonts w:asciiTheme="minorEastAsia" w:hAnsiTheme="minorEastAsia" w:hint="eastAsia"/>
          <w:sz w:val="24"/>
          <w:szCs w:val="24"/>
        </w:rPr>
        <w:t>液氮</w:t>
      </w:r>
      <w:r w:rsidRPr="004F2D17">
        <w:rPr>
          <w:rFonts w:asciiTheme="minorEastAsia" w:hAnsiTheme="minorEastAsia" w:hint="eastAsia"/>
          <w:sz w:val="24"/>
          <w:szCs w:val="24"/>
        </w:rPr>
        <w:t>的性能、检验、</w:t>
      </w:r>
      <w:r>
        <w:rPr>
          <w:rFonts w:asciiTheme="minorEastAsia" w:hAnsiTheme="minorEastAsia" w:hint="eastAsia"/>
          <w:sz w:val="24"/>
          <w:szCs w:val="24"/>
        </w:rPr>
        <w:t>运输</w:t>
      </w:r>
      <w:r w:rsidRPr="004F2D17">
        <w:rPr>
          <w:rFonts w:asciiTheme="minorEastAsia" w:hAnsiTheme="minorEastAsia" w:hint="eastAsia"/>
          <w:sz w:val="24"/>
          <w:szCs w:val="24"/>
        </w:rPr>
        <w:t>的技术要求及供货范围、售后服务的最低要求。</w:t>
      </w:r>
    </w:p>
    <w:p w:rsidR="00466434" w:rsidRPr="00643CE2" w:rsidRDefault="00466434" w:rsidP="00466434">
      <w:pPr>
        <w:spacing w:line="520" w:lineRule="exact"/>
        <w:rPr>
          <w:rFonts w:ascii="宋体" w:hAnsi="宋体"/>
          <w:sz w:val="24"/>
        </w:rPr>
      </w:pPr>
      <w:r w:rsidRPr="00643CE2">
        <w:rPr>
          <w:rFonts w:ascii="宋体" w:hAnsi="宋体" w:hint="eastAsia"/>
          <w:sz w:val="24"/>
        </w:rPr>
        <w:t>1.</w:t>
      </w:r>
      <w:r>
        <w:rPr>
          <w:rFonts w:ascii="宋体" w:hAnsi="宋体" w:hint="eastAsia"/>
          <w:sz w:val="24"/>
        </w:rPr>
        <w:t>2</w:t>
      </w:r>
      <w:r w:rsidRPr="00643CE2">
        <w:rPr>
          <w:rFonts w:ascii="宋体" w:hAnsi="宋体" w:hint="eastAsia"/>
          <w:sz w:val="24"/>
        </w:rPr>
        <w:t>投标方提交文件的计量单位应采用国际单位制，文件使用的语言为简体中文。</w:t>
      </w:r>
    </w:p>
    <w:p w:rsidR="005D2513" w:rsidRPr="00BC447F" w:rsidRDefault="005D2513" w:rsidP="007643B4">
      <w:pPr>
        <w:widowControl/>
        <w:spacing w:line="360" w:lineRule="auto"/>
        <w:jc w:val="left"/>
        <w:rPr>
          <w:rFonts w:hAnsi="宋体"/>
          <w:sz w:val="24"/>
        </w:rPr>
      </w:pPr>
      <w:r>
        <w:rPr>
          <w:rFonts w:asciiTheme="minorEastAsia" w:hAnsiTheme="minorEastAsia" w:hint="eastAsia"/>
          <w:sz w:val="24"/>
          <w:szCs w:val="24"/>
        </w:rPr>
        <w:t>1.</w:t>
      </w:r>
      <w:r w:rsidR="00466434">
        <w:rPr>
          <w:rFonts w:asciiTheme="minorEastAsia" w:hAnsiTheme="minorEastAsia" w:hint="eastAsia"/>
          <w:sz w:val="24"/>
          <w:szCs w:val="24"/>
        </w:rPr>
        <w:t>3</w:t>
      </w:r>
      <w:r w:rsidRPr="00431961">
        <w:rPr>
          <w:rFonts w:hAnsi="宋体"/>
          <w:sz w:val="24"/>
        </w:rPr>
        <w:t>投标方必须为中华人民共和国境内注册的、具有独立法人资格的一般纳税人</w:t>
      </w:r>
      <w:r>
        <w:rPr>
          <w:rFonts w:hAnsi="宋体" w:hint="eastAsia"/>
          <w:sz w:val="24"/>
        </w:rPr>
        <w:t>生产</w:t>
      </w:r>
      <w:r w:rsidRPr="00431961">
        <w:rPr>
          <w:rFonts w:hAnsi="宋体"/>
          <w:sz w:val="24"/>
        </w:rPr>
        <w:t>企业</w:t>
      </w:r>
      <w:r>
        <w:rPr>
          <w:rFonts w:hAnsi="宋体" w:hint="eastAsia"/>
          <w:sz w:val="24"/>
        </w:rPr>
        <w:t>或经销商</w:t>
      </w:r>
      <w:r>
        <w:rPr>
          <w:rFonts w:ascii="宋体" w:hAnsi="宋体" w:hint="eastAsia"/>
          <w:sz w:val="24"/>
        </w:rPr>
        <w:t>。</w:t>
      </w:r>
    </w:p>
    <w:p w:rsidR="004F2D17" w:rsidRDefault="004F2D17" w:rsidP="004E5D33">
      <w:pPr>
        <w:pStyle w:val="1"/>
      </w:pPr>
      <w:bookmarkStart w:id="1" w:name="_Toc449616056"/>
      <w:r>
        <w:rPr>
          <w:rFonts w:hint="eastAsia"/>
        </w:rPr>
        <w:t>2</w:t>
      </w:r>
      <w:r>
        <w:rPr>
          <w:rFonts w:hint="eastAsia"/>
        </w:rPr>
        <w:t>适用的标准及文件</w:t>
      </w:r>
      <w:bookmarkEnd w:id="1"/>
    </w:p>
    <w:p w:rsidR="004F2D17" w:rsidRDefault="004F2D17" w:rsidP="005D2513">
      <w:pPr>
        <w:widowControl/>
        <w:spacing w:line="360" w:lineRule="auto"/>
        <w:ind w:firstLineChars="150" w:firstLine="360"/>
        <w:jc w:val="left"/>
        <w:rPr>
          <w:rFonts w:asciiTheme="minorEastAsia" w:hAnsiTheme="minorEastAsia"/>
          <w:sz w:val="24"/>
          <w:szCs w:val="24"/>
        </w:rPr>
      </w:pPr>
      <w:r w:rsidRPr="004F2D17">
        <w:rPr>
          <w:rFonts w:asciiTheme="minorEastAsia" w:hAnsiTheme="minorEastAsia"/>
          <w:sz w:val="24"/>
          <w:szCs w:val="24"/>
        </w:rPr>
        <w:t>GB/T8979-2008</w:t>
      </w:r>
      <w:r>
        <w:rPr>
          <w:rFonts w:asciiTheme="minorEastAsia" w:hAnsiTheme="minorEastAsia" w:hint="eastAsia"/>
          <w:sz w:val="24"/>
          <w:szCs w:val="24"/>
        </w:rPr>
        <w:t xml:space="preserve"> 纯氮、高纯氮和超纯氮</w:t>
      </w:r>
    </w:p>
    <w:p w:rsidR="004F2D17" w:rsidRDefault="004F2D17" w:rsidP="004E5D33">
      <w:pPr>
        <w:pStyle w:val="1"/>
      </w:pPr>
      <w:bookmarkStart w:id="2" w:name="_Toc449616057"/>
      <w:r>
        <w:rPr>
          <w:rFonts w:hint="eastAsia"/>
        </w:rPr>
        <w:t>3</w:t>
      </w:r>
      <w:r>
        <w:rPr>
          <w:rFonts w:hint="eastAsia"/>
        </w:rPr>
        <w:t>投标方供货范围和工作范围</w:t>
      </w:r>
      <w:bookmarkEnd w:id="2"/>
    </w:p>
    <w:p w:rsidR="00DB69CB" w:rsidRDefault="004F2D17" w:rsidP="005D2513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3.1投标方供货范围</w:t>
      </w:r>
    </w:p>
    <w:tbl>
      <w:tblPr>
        <w:tblW w:w="5260" w:type="dxa"/>
        <w:jc w:val="center"/>
        <w:tblInd w:w="93" w:type="dxa"/>
        <w:tblLayout w:type="fixed"/>
        <w:tblLook w:val="0000"/>
      </w:tblPr>
      <w:tblGrid>
        <w:gridCol w:w="724"/>
        <w:gridCol w:w="992"/>
        <w:gridCol w:w="1701"/>
        <w:gridCol w:w="1843"/>
      </w:tblGrid>
      <w:tr w:rsidR="00890AEC" w:rsidRPr="00444D04" w:rsidTr="00890AEC">
        <w:trPr>
          <w:trHeight w:hRule="exact" w:val="628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AEC" w:rsidRPr="00444D04" w:rsidRDefault="00890AEC" w:rsidP="00B6321C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物资名称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AEC" w:rsidRPr="00444D04" w:rsidRDefault="00890AEC" w:rsidP="00B6321C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数量（吨）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AEC" w:rsidRDefault="00890AEC" w:rsidP="00AF1357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氮气纯度（体积分数）</w:t>
            </w:r>
            <w:r>
              <w:rPr>
                <w:rFonts w:hint="eastAsia"/>
                <w:kern w:val="0"/>
                <w:sz w:val="24"/>
                <w:szCs w:val="24"/>
              </w:rPr>
              <w:t>/%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AEC" w:rsidRDefault="00890AEC" w:rsidP="00890AEC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执行标准</w:t>
            </w:r>
          </w:p>
        </w:tc>
      </w:tr>
      <w:tr w:rsidR="00890AEC" w:rsidRPr="00444D04" w:rsidTr="00890AEC">
        <w:trPr>
          <w:trHeight w:hRule="exact" w:val="84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AEC" w:rsidRDefault="00890AEC" w:rsidP="00B6321C">
            <w:pPr>
              <w:widowControl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液氮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AEC" w:rsidRDefault="00890AEC" w:rsidP="00B6321C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AEC" w:rsidRDefault="00890AEC" w:rsidP="00B6321C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≥</w:t>
            </w:r>
            <w:r>
              <w:rPr>
                <w:rFonts w:hint="eastAsia"/>
                <w:kern w:val="0"/>
                <w:sz w:val="24"/>
                <w:szCs w:val="24"/>
              </w:rPr>
              <w:t>99.99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AEC" w:rsidRDefault="00890AEC" w:rsidP="00B6321C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947F98">
              <w:rPr>
                <w:kern w:val="0"/>
                <w:sz w:val="24"/>
                <w:szCs w:val="24"/>
              </w:rPr>
              <w:t>GB/T8979-2008</w:t>
            </w:r>
          </w:p>
        </w:tc>
      </w:tr>
    </w:tbl>
    <w:p w:rsidR="004F2D17" w:rsidRDefault="00907555" w:rsidP="00C56F4A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3.</w:t>
      </w:r>
      <w:r w:rsidR="00890AEC">
        <w:rPr>
          <w:rFonts w:asciiTheme="minorEastAsia" w:hAnsiTheme="minorEastAsia" w:hint="eastAsia"/>
          <w:sz w:val="24"/>
          <w:szCs w:val="24"/>
        </w:rPr>
        <w:t>2</w:t>
      </w:r>
      <w:r w:rsidR="006D7161">
        <w:rPr>
          <w:rFonts w:asciiTheme="minorEastAsia" w:hAnsiTheme="minorEastAsia" w:hint="eastAsia"/>
          <w:sz w:val="24"/>
          <w:szCs w:val="24"/>
        </w:rPr>
        <w:t>工作范围，包括但不限于以下内容：</w:t>
      </w:r>
    </w:p>
    <w:p w:rsidR="006D7161" w:rsidRDefault="00907555" w:rsidP="006D7161">
      <w:pPr>
        <w:spacing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</w:t>
      </w:r>
      <w:r w:rsidR="00890AEC">
        <w:rPr>
          <w:rFonts w:ascii="宋体" w:hAnsi="宋体" w:hint="eastAsia"/>
          <w:sz w:val="24"/>
        </w:rPr>
        <w:t>2.</w:t>
      </w:r>
      <w:r w:rsidR="006D7161">
        <w:rPr>
          <w:rFonts w:ascii="宋体" w:hAnsi="宋体" w:hint="eastAsia"/>
          <w:sz w:val="24"/>
        </w:rPr>
        <w:t>1投标方供货时，需提供产品的质量证明书</w:t>
      </w:r>
      <w:r w:rsidR="00C202F6">
        <w:rPr>
          <w:rFonts w:ascii="宋体" w:hAnsi="宋体" w:hint="eastAsia"/>
          <w:sz w:val="24"/>
        </w:rPr>
        <w:t>。</w:t>
      </w:r>
    </w:p>
    <w:p w:rsidR="006D7161" w:rsidRDefault="006D7161" w:rsidP="006D7161">
      <w:pPr>
        <w:spacing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</w:t>
      </w:r>
      <w:r w:rsidR="00890AEC"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.2产品到场后，投标方对招标方所供产品进行复检，复检不合格的产品，投标方应无条件立即更换</w:t>
      </w:r>
      <w:r w:rsidR="00890AEC">
        <w:rPr>
          <w:rFonts w:ascii="宋体" w:hAnsi="宋体" w:hint="eastAsia"/>
          <w:sz w:val="24"/>
        </w:rPr>
        <w:t>。</w:t>
      </w:r>
    </w:p>
    <w:p w:rsidR="006D7161" w:rsidRDefault="00C375A0" w:rsidP="004E26E4">
      <w:pPr>
        <w:pStyle w:val="1"/>
      </w:pPr>
      <w:bookmarkStart w:id="3" w:name="_Toc449616058"/>
      <w:r>
        <w:rPr>
          <w:rFonts w:hint="eastAsia"/>
        </w:rPr>
        <w:t>4</w:t>
      </w:r>
      <w:r>
        <w:rPr>
          <w:rFonts w:hint="eastAsia"/>
        </w:rPr>
        <w:t>技术要求</w:t>
      </w:r>
      <w:bookmarkEnd w:id="3"/>
    </w:p>
    <w:p w:rsidR="00C375A0" w:rsidRDefault="00C375A0" w:rsidP="003241C4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4.1招标方所供液氮应符合下表质量标准</w:t>
      </w:r>
    </w:p>
    <w:tbl>
      <w:tblPr>
        <w:tblStyle w:val="a8"/>
        <w:tblW w:w="0" w:type="auto"/>
        <w:jc w:val="center"/>
        <w:tblInd w:w="-831" w:type="dxa"/>
        <w:tblLook w:val="04A0"/>
      </w:tblPr>
      <w:tblGrid>
        <w:gridCol w:w="3857"/>
        <w:gridCol w:w="3091"/>
      </w:tblGrid>
      <w:tr w:rsidR="00C375A0" w:rsidTr="004F5C0C">
        <w:trPr>
          <w:jc w:val="center"/>
        </w:trPr>
        <w:tc>
          <w:tcPr>
            <w:tcW w:w="3857" w:type="dxa"/>
          </w:tcPr>
          <w:p w:rsidR="00C375A0" w:rsidRDefault="00C375A0" w:rsidP="004F5C0C">
            <w:pPr>
              <w:widowControl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技术参数</w:t>
            </w:r>
          </w:p>
        </w:tc>
        <w:tc>
          <w:tcPr>
            <w:tcW w:w="3091" w:type="dxa"/>
          </w:tcPr>
          <w:p w:rsidR="00C375A0" w:rsidRDefault="00C375A0" w:rsidP="004F5C0C">
            <w:pPr>
              <w:widowControl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含量</w:t>
            </w:r>
          </w:p>
        </w:tc>
      </w:tr>
      <w:tr w:rsidR="00C375A0" w:rsidTr="004F5C0C">
        <w:trPr>
          <w:jc w:val="center"/>
        </w:trPr>
        <w:tc>
          <w:tcPr>
            <w:tcW w:w="3857" w:type="dxa"/>
          </w:tcPr>
          <w:p w:rsidR="00C375A0" w:rsidRPr="007263E3" w:rsidRDefault="00C375A0" w:rsidP="004F5C0C">
            <w:pPr>
              <w:widowControl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氮气纯度（体积分数）</w:t>
            </w:r>
          </w:p>
        </w:tc>
        <w:tc>
          <w:tcPr>
            <w:tcW w:w="3091" w:type="dxa"/>
          </w:tcPr>
          <w:p w:rsidR="00C375A0" w:rsidRDefault="00C375A0" w:rsidP="00C375A0">
            <w:pPr>
              <w:widowControl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≥99.99%</w:t>
            </w:r>
          </w:p>
        </w:tc>
      </w:tr>
      <w:tr w:rsidR="00C375A0" w:rsidTr="004F5C0C">
        <w:trPr>
          <w:jc w:val="center"/>
        </w:trPr>
        <w:tc>
          <w:tcPr>
            <w:tcW w:w="3857" w:type="dxa"/>
            <w:vAlign w:val="center"/>
          </w:tcPr>
          <w:p w:rsidR="00C375A0" w:rsidRPr="00306A37" w:rsidRDefault="00C375A0" w:rsidP="004F5C0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氧含量（体积分数）</w:t>
            </w:r>
          </w:p>
        </w:tc>
        <w:tc>
          <w:tcPr>
            <w:tcW w:w="3091" w:type="dxa"/>
          </w:tcPr>
          <w:p w:rsidR="00C375A0" w:rsidRPr="00FC032C" w:rsidRDefault="00C375A0" w:rsidP="00C202F6">
            <w:pPr>
              <w:widowControl/>
              <w:snapToGrid w:val="0"/>
              <w:spacing w:line="500" w:lineRule="exact"/>
              <w:jc w:val="center"/>
              <w:rPr>
                <w:rFonts w:ascii="宋体" w:hAnsi="宋体" w:cs="宋体"/>
                <w:b/>
                <w:kern w:val="0"/>
                <w:sz w:val="24"/>
                <w:highlight w:val="yellow"/>
              </w:rPr>
            </w:pPr>
            <w:r w:rsidRPr="00FC032C">
              <w:rPr>
                <w:rFonts w:ascii="宋体" w:hAnsi="宋体" w:cs="宋体" w:hint="eastAsia"/>
                <w:b/>
                <w:kern w:val="0"/>
                <w:sz w:val="24"/>
                <w:highlight w:val="yellow"/>
              </w:rPr>
              <w:t>≤</w:t>
            </w:r>
            <w:r w:rsidR="00C202F6" w:rsidRPr="00FC032C">
              <w:rPr>
                <w:rFonts w:ascii="宋体" w:hAnsi="宋体" w:cs="宋体" w:hint="eastAsia"/>
                <w:b/>
                <w:kern w:val="0"/>
                <w:sz w:val="24"/>
                <w:highlight w:val="yellow"/>
              </w:rPr>
              <w:t>1</w:t>
            </w:r>
            <w:r w:rsidRPr="00FC032C">
              <w:rPr>
                <w:rFonts w:ascii="宋体" w:hAnsi="宋体" w:cs="宋体" w:hint="eastAsia"/>
                <w:b/>
                <w:kern w:val="0"/>
                <w:sz w:val="24"/>
                <w:highlight w:val="yellow"/>
              </w:rPr>
              <w:t>0ppm</w:t>
            </w:r>
          </w:p>
        </w:tc>
      </w:tr>
      <w:tr w:rsidR="00C375A0" w:rsidTr="004F5C0C">
        <w:trPr>
          <w:jc w:val="center"/>
        </w:trPr>
        <w:tc>
          <w:tcPr>
            <w:tcW w:w="3857" w:type="dxa"/>
            <w:vAlign w:val="center"/>
          </w:tcPr>
          <w:p w:rsidR="00C375A0" w:rsidRPr="00306A37" w:rsidRDefault="00C375A0" w:rsidP="004F5C0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氩含量（体积分数）</w:t>
            </w:r>
          </w:p>
        </w:tc>
        <w:tc>
          <w:tcPr>
            <w:tcW w:w="3091" w:type="dxa"/>
          </w:tcPr>
          <w:p w:rsidR="00C375A0" w:rsidRDefault="00C375A0" w:rsidP="004F5C0C">
            <w:pPr>
              <w:widowControl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-</w:t>
            </w:r>
          </w:p>
        </w:tc>
      </w:tr>
      <w:tr w:rsidR="00C375A0" w:rsidTr="004F5C0C">
        <w:trPr>
          <w:jc w:val="center"/>
        </w:trPr>
        <w:tc>
          <w:tcPr>
            <w:tcW w:w="3857" w:type="dxa"/>
            <w:vAlign w:val="center"/>
          </w:tcPr>
          <w:p w:rsidR="00C375A0" w:rsidRDefault="00C375A0" w:rsidP="004F5C0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氢含量（体积分数）</w:t>
            </w:r>
          </w:p>
        </w:tc>
        <w:tc>
          <w:tcPr>
            <w:tcW w:w="3091" w:type="dxa"/>
          </w:tcPr>
          <w:p w:rsidR="00C375A0" w:rsidRDefault="00C375A0" w:rsidP="00C375A0">
            <w:pPr>
              <w:widowControl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≤15ppm</w:t>
            </w:r>
          </w:p>
        </w:tc>
      </w:tr>
      <w:tr w:rsidR="00C375A0" w:rsidTr="004F5C0C">
        <w:trPr>
          <w:jc w:val="center"/>
        </w:trPr>
        <w:tc>
          <w:tcPr>
            <w:tcW w:w="3857" w:type="dxa"/>
            <w:vAlign w:val="center"/>
          </w:tcPr>
          <w:p w:rsidR="00C375A0" w:rsidRDefault="00C375A0" w:rsidP="004F5C0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一氧化碳含量（体积分数）</w:t>
            </w:r>
          </w:p>
        </w:tc>
        <w:tc>
          <w:tcPr>
            <w:tcW w:w="3091" w:type="dxa"/>
          </w:tcPr>
          <w:p w:rsidR="00C375A0" w:rsidRDefault="00C375A0" w:rsidP="00C375A0">
            <w:pPr>
              <w:widowControl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≤5ppm</w:t>
            </w:r>
          </w:p>
        </w:tc>
      </w:tr>
      <w:tr w:rsidR="00C375A0" w:rsidTr="004F5C0C">
        <w:trPr>
          <w:jc w:val="center"/>
        </w:trPr>
        <w:tc>
          <w:tcPr>
            <w:tcW w:w="3857" w:type="dxa"/>
            <w:vAlign w:val="center"/>
          </w:tcPr>
          <w:p w:rsidR="00C375A0" w:rsidRDefault="00C375A0" w:rsidP="004F5C0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二氧化碳含量（体积分数）</w:t>
            </w:r>
          </w:p>
        </w:tc>
        <w:tc>
          <w:tcPr>
            <w:tcW w:w="3091" w:type="dxa"/>
          </w:tcPr>
          <w:p w:rsidR="00C375A0" w:rsidRDefault="00C375A0" w:rsidP="00C375A0">
            <w:pPr>
              <w:widowControl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≤10ppm</w:t>
            </w:r>
          </w:p>
        </w:tc>
      </w:tr>
      <w:tr w:rsidR="00C375A0" w:rsidTr="004F5C0C">
        <w:trPr>
          <w:jc w:val="center"/>
        </w:trPr>
        <w:tc>
          <w:tcPr>
            <w:tcW w:w="3857" w:type="dxa"/>
            <w:vAlign w:val="center"/>
          </w:tcPr>
          <w:p w:rsidR="00C375A0" w:rsidRDefault="00C375A0" w:rsidP="004F5C0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甲烷含量（体积分数）</w:t>
            </w:r>
          </w:p>
        </w:tc>
        <w:tc>
          <w:tcPr>
            <w:tcW w:w="3091" w:type="dxa"/>
          </w:tcPr>
          <w:p w:rsidR="00C375A0" w:rsidRDefault="00C375A0" w:rsidP="00C375A0">
            <w:pPr>
              <w:widowControl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≤5ppm</w:t>
            </w:r>
          </w:p>
        </w:tc>
      </w:tr>
      <w:tr w:rsidR="00C375A0" w:rsidTr="004F5C0C">
        <w:trPr>
          <w:jc w:val="center"/>
        </w:trPr>
        <w:tc>
          <w:tcPr>
            <w:tcW w:w="3857" w:type="dxa"/>
            <w:vAlign w:val="center"/>
          </w:tcPr>
          <w:p w:rsidR="00C375A0" w:rsidRDefault="00C375A0" w:rsidP="004F5C0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水含量（体积分数）</w:t>
            </w:r>
          </w:p>
        </w:tc>
        <w:tc>
          <w:tcPr>
            <w:tcW w:w="3091" w:type="dxa"/>
          </w:tcPr>
          <w:p w:rsidR="00C375A0" w:rsidRDefault="00C375A0" w:rsidP="00C375A0">
            <w:pPr>
              <w:widowControl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≤15ppm</w:t>
            </w:r>
          </w:p>
        </w:tc>
      </w:tr>
    </w:tbl>
    <w:p w:rsidR="00C375A0" w:rsidRDefault="005E25C7" w:rsidP="005470EC">
      <w:pPr>
        <w:pStyle w:val="1"/>
      </w:pPr>
      <w:bookmarkStart w:id="4" w:name="_Toc449616059"/>
      <w:r>
        <w:rPr>
          <w:rFonts w:hint="eastAsia"/>
        </w:rPr>
        <w:t>5</w:t>
      </w:r>
      <w:r>
        <w:rPr>
          <w:rFonts w:hint="eastAsia"/>
        </w:rPr>
        <w:t>检测检验</w:t>
      </w:r>
      <w:bookmarkEnd w:id="4"/>
    </w:p>
    <w:p w:rsidR="005E25C7" w:rsidRDefault="005E25C7" w:rsidP="005470EC">
      <w:pPr>
        <w:widowControl/>
        <w:spacing w:line="360" w:lineRule="auto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5.1</w:t>
      </w:r>
      <w:r>
        <w:rPr>
          <w:rFonts w:asciiTheme="minorEastAsia" w:hAnsiTheme="minorEastAsia" w:hint="eastAsia"/>
          <w:sz w:val="24"/>
        </w:rPr>
        <w:t>投标方供货时，应提供产品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生产厂的质量监督部门出具的检验报告或质量证明书，投标方保证所有出厂的产品符合国家标准。</w:t>
      </w:r>
    </w:p>
    <w:p w:rsidR="005E25C7" w:rsidRDefault="005E25C7" w:rsidP="005470EC">
      <w:pPr>
        <w:widowControl/>
        <w:spacing w:line="360" w:lineRule="auto"/>
        <w:jc w:val="left"/>
        <w:rPr>
          <w:rFonts w:ascii="宋体" w:hAnsi="宋体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5.2招标方</w:t>
      </w:r>
      <w:r w:rsidRPr="00B57DDE">
        <w:rPr>
          <w:rFonts w:asciiTheme="minorEastAsia" w:hAnsiTheme="minorEastAsia" w:hint="eastAsia"/>
          <w:color w:val="000000" w:themeColor="text1"/>
          <w:sz w:val="24"/>
          <w:szCs w:val="24"/>
        </w:rPr>
        <w:t>按照标准规定检验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投标方</w:t>
      </w:r>
      <w:r w:rsidRPr="00B57DDE">
        <w:rPr>
          <w:rFonts w:asciiTheme="minorEastAsia" w:hAnsiTheme="minorEastAsia" w:hint="eastAsia"/>
          <w:color w:val="000000" w:themeColor="text1"/>
          <w:sz w:val="24"/>
          <w:szCs w:val="24"/>
        </w:rPr>
        <w:t>的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液氮</w:t>
      </w:r>
      <w:r w:rsidRPr="00B57DDE">
        <w:rPr>
          <w:rFonts w:asciiTheme="minorEastAsia" w:hAnsiTheme="minorEastAsia" w:hint="eastAsia"/>
          <w:color w:val="000000" w:themeColor="text1"/>
          <w:sz w:val="24"/>
          <w:szCs w:val="24"/>
        </w:rPr>
        <w:t>是否符合要求。</w:t>
      </w:r>
      <w:r w:rsidR="005470EC">
        <w:rPr>
          <w:rFonts w:asciiTheme="minorEastAsia" w:hAnsiTheme="minorEastAsia" w:hint="eastAsia"/>
          <w:color w:val="000000" w:themeColor="text1"/>
          <w:sz w:val="24"/>
          <w:szCs w:val="24"/>
        </w:rPr>
        <w:t>检验结果如有一项指标不符合</w:t>
      </w:r>
      <w:r w:rsidR="005470EC">
        <w:rPr>
          <w:rFonts w:ascii="宋体" w:hAnsi="宋体" w:cs="宋体" w:hint="eastAsia"/>
          <w:kern w:val="0"/>
          <w:sz w:val="24"/>
        </w:rPr>
        <w:t>4.1</w:t>
      </w:r>
      <w:r w:rsidR="005470EC">
        <w:rPr>
          <w:rFonts w:asciiTheme="minorEastAsia" w:hAnsiTheme="minorEastAsia" w:hint="eastAsia"/>
          <w:color w:val="000000" w:themeColor="text1"/>
          <w:sz w:val="24"/>
          <w:szCs w:val="24"/>
        </w:rPr>
        <w:t>要求，应重新取样进行复检。复检结果中仍有一项指标不符合本标准要求，</w:t>
      </w:r>
      <w:r w:rsidR="005470EC">
        <w:rPr>
          <w:rFonts w:ascii="宋体" w:hAnsi="宋体" w:hint="eastAsia"/>
          <w:sz w:val="24"/>
        </w:rPr>
        <w:t>投标方应无条件立即更换。</w:t>
      </w:r>
    </w:p>
    <w:p w:rsidR="005470EC" w:rsidRDefault="005470EC" w:rsidP="005470EC">
      <w:pPr>
        <w:spacing w:line="360" w:lineRule="auto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="宋体" w:hAnsi="宋体" w:hint="eastAsia"/>
          <w:sz w:val="24"/>
        </w:rPr>
        <w:t>5.3</w:t>
      </w:r>
      <w:r w:rsidRPr="00B57DDE">
        <w:rPr>
          <w:rFonts w:asciiTheme="minorEastAsia" w:hAnsiTheme="minorEastAsia" w:hint="eastAsia"/>
          <w:color w:val="000000" w:themeColor="text1"/>
          <w:sz w:val="24"/>
          <w:szCs w:val="24"/>
        </w:rPr>
        <w:t>当供需双方对产品质量发生异议需要仲裁时，按</w:t>
      </w:r>
      <w:r w:rsidRPr="008C282F">
        <w:rPr>
          <w:rFonts w:ascii="宋体" w:hAnsi="宋体" w:cs="宋体"/>
          <w:kern w:val="0"/>
          <w:sz w:val="24"/>
        </w:rPr>
        <w:t>国家质量技术监督局</w:t>
      </w:r>
      <w:r w:rsidRPr="005C0D81">
        <w:rPr>
          <w:rFonts w:ascii="宋体" w:hAnsi="宋体" w:cs="宋体" w:hint="eastAsia"/>
          <w:kern w:val="0"/>
          <w:sz w:val="24"/>
        </w:rPr>
        <w:t>《</w:t>
      </w:r>
      <w:r w:rsidRPr="008C282F">
        <w:rPr>
          <w:rFonts w:ascii="宋体" w:hAnsi="宋体" w:cs="宋体"/>
          <w:kern w:val="0"/>
          <w:sz w:val="24"/>
        </w:rPr>
        <w:t>产品质量仲裁检验和产品质量鉴定管理办法</w:t>
      </w:r>
      <w:r w:rsidRPr="005C0D81">
        <w:rPr>
          <w:rFonts w:ascii="宋体" w:hAnsi="宋体" w:cs="宋体" w:hint="eastAsia"/>
          <w:kern w:val="0"/>
          <w:sz w:val="24"/>
        </w:rPr>
        <w:t>》</w:t>
      </w:r>
      <w:r w:rsidRPr="00B57DDE">
        <w:rPr>
          <w:rFonts w:asciiTheme="minorEastAsia" w:hAnsiTheme="minorEastAsia" w:hint="eastAsia"/>
          <w:color w:val="000000" w:themeColor="text1"/>
          <w:sz w:val="24"/>
          <w:szCs w:val="24"/>
        </w:rPr>
        <w:t>规定仲裁。</w:t>
      </w:r>
    </w:p>
    <w:p w:rsidR="005470EC" w:rsidRDefault="005470EC" w:rsidP="00FB7907">
      <w:pPr>
        <w:pStyle w:val="1"/>
      </w:pPr>
      <w:bookmarkStart w:id="5" w:name="_Toc449616060"/>
      <w:r>
        <w:rPr>
          <w:rFonts w:hint="eastAsia"/>
        </w:rPr>
        <w:t>6</w:t>
      </w:r>
      <w:r>
        <w:rPr>
          <w:rFonts w:hint="eastAsia"/>
        </w:rPr>
        <w:t>贮存与运输</w:t>
      </w:r>
      <w:bookmarkEnd w:id="5"/>
    </w:p>
    <w:p w:rsidR="00FB7907" w:rsidRDefault="005470EC" w:rsidP="00FB7907">
      <w:pPr>
        <w:spacing w:line="360" w:lineRule="auto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6.1</w:t>
      </w:r>
      <w:r w:rsidR="00456DC2">
        <w:rPr>
          <w:rFonts w:asciiTheme="minorEastAsia" w:hAnsiTheme="minorEastAsia" w:hint="eastAsia"/>
          <w:color w:val="000000" w:themeColor="text1"/>
          <w:sz w:val="24"/>
          <w:szCs w:val="24"/>
        </w:rPr>
        <w:t>液氮应采用专用罐车装运，</w:t>
      </w:r>
      <w:r w:rsidR="00FB7907">
        <w:rPr>
          <w:rFonts w:asciiTheme="minorEastAsia" w:hAnsiTheme="minorEastAsia" w:hint="eastAsia"/>
          <w:color w:val="000000" w:themeColor="text1"/>
          <w:sz w:val="24"/>
          <w:szCs w:val="24"/>
        </w:rPr>
        <w:t>运输液氮的罐</w:t>
      </w:r>
      <w:r w:rsidR="00456DC2">
        <w:rPr>
          <w:rFonts w:asciiTheme="minorEastAsia" w:hAnsiTheme="minorEastAsia" w:hint="eastAsia"/>
          <w:color w:val="000000" w:themeColor="text1"/>
          <w:sz w:val="24"/>
          <w:szCs w:val="24"/>
        </w:rPr>
        <w:t>车</w:t>
      </w:r>
      <w:r w:rsidR="00FB7907" w:rsidRPr="000111B2">
        <w:rPr>
          <w:rFonts w:asciiTheme="minorEastAsia" w:hAnsiTheme="minorEastAsia" w:hint="eastAsia"/>
          <w:color w:val="000000" w:themeColor="text1"/>
          <w:sz w:val="24"/>
          <w:szCs w:val="24"/>
        </w:rPr>
        <w:t>必须符合中华人民共和国交通部制订的《危险货物运输规则》。</w:t>
      </w:r>
    </w:p>
    <w:p w:rsidR="00FB7907" w:rsidRPr="000111B2" w:rsidRDefault="00FB7907" w:rsidP="00FB7907">
      <w:pPr>
        <w:spacing w:line="360" w:lineRule="auto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6.2投标方对液氮到厂前的</w:t>
      </w:r>
      <w:r w:rsidR="00B754C4">
        <w:rPr>
          <w:rFonts w:asciiTheme="minorEastAsia" w:hAnsiTheme="minorEastAsia" w:hint="eastAsia"/>
          <w:color w:val="000000" w:themeColor="text1"/>
          <w:sz w:val="24"/>
          <w:szCs w:val="24"/>
        </w:rPr>
        <w:t>质量、贮存、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运输负有全责。</w:t>
      </w:r>
    </w:p>
    <w:p w:rsidR="005470EC" w:rsidRDefault="00FB7907" w:rsidP="00456DC2">
      <w:pPr>
        <w:pStyle w:val="1"/>
      </w:pPr>
      <w:bookmarkStart w:id="6" w:name="_Toc449616061"/>
      <w:r>
        <w:rPr>
          <w:rFonts w:hint="eastAsia"/>
        </w:rPr>
        <w:t>7</w:t>
      </w:r>
      <w:r>
        <w:rPr>
          <w:rFonts w:hint="eastAsia"/>
        </w:rPr>
        <w:t>产品质量保证及考核</w:t>
      </w:r>
      <w:bookmarkEnd w:id="6"/>
    </w:p>
    <w:p w:rsidR="00FB7907" w:rsidRDefault="00890AEC" w:rsidP="005470E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7</w:t>
      </w:r>
      <w:r w:rsidR="00456DC2">
        <w:rPr>
          <w:rFonts w:ascii="宋体" w:hAnsi="宋体" w:hint="eastAsia"/>
          <w:sz w:val="24"/>
          <w:szCs w:val="24"/>
        </w:rPr>
        <w:t>.1产品的质量保证期为</w:t>
      </w:r>
      <w:r w:rsidR="00EC28C8">
        <w:rPr>
          <w:rFonts w:ascii="宋体" w:hAnsi="宋体" w:hint="eastAsia"/>
          <w:sz w:val="24"/>
          <w:szCs w:val="24"/>
        </w:rPr>
        <w:t>合同履约完毕</w:t>
      </w:r>
      <w:r w:rsidR="00456DC2">
        <w:rPr>
          <w:rFonts w:ascii="宋体" w:hAnsi="宋体" w:hint="eastAsia"/>
          <w:sz w:val="24"/>
          <w:szCs w:val="24"/>
        </w:rPr>
        <w:t>后</w:t>
      </w:r>
      <w:r w:rsidR="00CF59DF">
        <w:rPr>
          <w:rFonts w:ascii="宋体" w:hAnsi="宋体" w:hint="eastAsia"/>
          <w:sz w:val="24"/>
          <w:szCs w:val="24"/>
        </w:rPr>
        <w:t>1</w:t>
      </w:r>
      <w:r w:rsidR="00456DC2">
        <w:rPr>
          <w:rFonts w:ascii="宋体" w:hAnsi="宋体" w:hint="eastAsia"/>
          <w:sz w:val="24"/>
          <w:szCs w:val="24"/>
        </w:rPr>
        <w:t>个月；</w:t>
      </w:r>
    </w:p>
    <w:p w:rsidR="00FC4AC8" w:rsidRDefault="00890AEC" w:rsidP="00FC4AC8">
      <w:pPr>
        <w:spacing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</w:t>
      </w:r>
      <w:r w:rsidR="00FC4AC8" w:rsidRPr="004D2972">
        <w:rPr>
          <w:rFonts w:ascii="宋体" w:hAnsi="宋体"/>
          <w:sz w:val="24"/>
        </w:rPr>
        <w:t>.2</w:t>
      </w:r>
      <w:r w:rsidR="00FC4AC8">
        <w:rPr>
          <w:rFonts w:ascii="宋体" w:hAnsi="宋体" w:hint="eastAsia"/>
          <w:sz w:val="24"/>
        </w:rPr>
        <w:t xml:space="preserve"> 质量</w:t>
      </w:r>
      <w:r w:rsidR="00FC4AC8" w:rsidRPr="004D2972">
        <w:rPr>
          <w:rFonts w:ascii="宋体" w:hAnsi="宋体" w:hint="eastAsia"/>
          <w:sz w:val="24"/>
        </w:rPr>
        <w:t>考核</w:t>
      </w:r>
      <w:r w:rsidR="00FC4AC8">
        <w:rPr>
          <w:rFonts w:ascii="宋体" w:hAnsi="宋体" w:hint="eastAsia"/>
          <w:sz w:val="24"/>
        </w:rPr>
        <w:t>：符合4</w:t>
      </w:r>
      <w:r w:rsidR="00FC4AC8" w:rsidRPr="00EE543B">
        <w:rPr>
          <w:rFonts w:ascii="宋体" w:hAnsi="宋体" w:hint="eastAsia"/>
          <w:sz w:val="24"/>
        </w:rPr>
        <w:t>.</w:t>
      </w:r>
      <w:r w:rsidR="00FC4AC8">
        <w:rPr>
          <w:rFonts w:ascii="宋体" w:hAnsi="宋体" w:hint="eastAsia"/>
          <w:sz w:val="24"/>
        </w:rPr>
        <w:t>1中的质量标准要求；</w:t>
      </w:r>
    </w:p>
    <w:p w:rsidR="00E2639D" w:rsidRPr="00F3504A" w:rsidRDefault="00E2639D" w:rsidP="00E2639D">
      <w:pPr>
        <w:pStyle w:val="1"/>
      </w:pPr>
      <w:bookmarkStart w:id="7" w:name="_Toc418152292"/>
      <w:bookmarkStart w:id="8" w:name="_Toc449616062"/>
      <w:r>
        <w:rPr>
          <w:rFonts w:hint="eastAsia"/>
        </w:rPr>
        <w:t>8</w:t>
      </w:r>
      <w:r>
        <w:rPr>
          <w:rFonts w:hint="eastAsia"/>
        </w:rPr>
        <w:t>产品交付</w:t>
      </w:r>
      <w:bookmarkEnd w:id="7"/>
      <w:bookmarkEnd w:id="8"/>
    </w:p>
    <w:p w:rsidR="00E2639D" w:rsidRDefault="00E2639D" w:rsidP="00E2639D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8</w:t>
      </w:r>
      <w:r>
        <w:rPr>
          <w:rFonts w:ascii="宋体" w:hAnsi="宋体"/>
          <w:sz w:val="24"/>
        </w:rPr>
        <w:t>.1</w:t>
      </w:r>
      <w:r>
        <w:rPr>
          <w:rFonts w:ascii="宋体" w:hAnsi="宋体" w:hint="eastAsia"/>
          <w:sz w:val="24"/>
        </w:rPr>
        <w:t>交货日期</w:t>
      </w:r>
      <w:r w:rsidRPr="00EC6DE7">
        <w:rPr>
          <w:rFonts w:hAnsi="宋体" w:hint="eastAsia"/>
          <w:sz w:val="24"/>
        </w:rPr>
        <w:t>：</w:t>
      </w:r>
      <w:r w:rsidRPr="00F82010">
        <w:rPr>
          <w:rFonts w:hAnsi="宋体" w:hint="eastAsia"/>
          <w:sz w:val="24"/>
        </w:rPr>
        <w:t>合同签订生效后，</w:t>
      </w:r>
      <w:r w:rsidR="00DE70E8">
        <w:rPr>
          <w:rFonts w:hAnsi="宋体" w:hint="eastAsia"/>
          <w:sz w:val="24"/>
        </w:rPr>
        <w:t>按照招标方要求时间</w:t>
      </w:r>
      <w:r w:rsidRPr="00F82010">
        <w:rPr>
          <w:rFonts w:hAnsi="宋体" w:hint="eastAsia"/>
          <w:sz w:val="24"/>
        </w:rPr>
        <w:t>送到</w:t>
      </w:r>
      <w:r w:rsidR="00DE70E8">
        <w:rPr>
          <w:rFonts w:hAnsi="宋体" w:hint="eastAsia"/>
          <w:sz w:val="24"/>
        </w:rPr>
        <w:t>招标</w:t>
      </w:r>
      <w:r>
        <w:rPr>
          <w:rFonts w:hAnsi="宋体" w:hint="eastAsia"/>
          <w:sz w:val="24"/>
        </w:rPr>
        <w:t>方</w:t>
      </w:r>
      <w:r w:rsidRPr="00F82010">
        <w:rPr>
          <w:rFonts w:hAnsi="宋体" w:hint="eastAsia"/>
          <w:sz w:val="24"/>
        </w:rPr>
        <w:t>指定交货地</w:t>
      </w:r>
      <w:r>
        <w:rPr>
          <w:rFonts w:hAnsi="宋体" w:hint="eastAsia"/>
          <w:sz w:val="24"/>
        </w:rPr>
        <w:t>点</w:t>
      </w:r>
      <w:r>
        <w:rPr>
          <w:rFonts w:ascii="宋体" w:hAnsi="宋体" w:hint="eastAsia"/>
          <w:sz w:val="24"/>
        </w:rPr>
        <w:t>；</w:t>
      </w:r>
    </w:p>
    <w:p w:rsidR="00E2639D" w:rsidRDefault="00E2639D" w:rsidP="00E2639D">
      <w:pPr>
        <w:spacing w:line="500" w:lineRule="exac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8</w:t>
      </w:r>
      <w:r>
        <w:rPr>
          <w:rFonts w:ascii="宋体" w:hAnsi="宋体"/>
          <w:sz w:val="24"/>
        </w:rPr>
        <w:t>.2</w:t>
      </w:r>
      <w:r>
        <w:rPr>
          <w:rFonts w:ascii="宋体" w:hAnsi="宋体" w:hint="eastAsia"/>
          <w:sz w:val="24"/>
        </w:rPr>
        <w:t>交货地点：陕西未来能源化工有限公司</w:t>
      </w:r>
      <w:r w:rsidR="00CF59DF">
        <w:rPr>
          <w:rFonts w:ascii="宋体" w:hAnsi="宋体" w:hint="eastAsia"/>
          <w:sz w:val="24"/>
        </w:rPr>
        <w:t>煤制油分公司</w:t>
      </w:r>
      <w:r w:rsidR="00DE70E8">
        <w:rPr>
          <w:rFonts w:ascii="宋体" w:hAnsi="宋体" w:hint="eastAsia"/>
          <w:sz w:val="24"/>
        </w:rPr>
        <w:t>招标</w:t>
      </w:r>
      <w:r>
        <w:rPr>
          <w:rFonts w:ascii="宋体" w:hAnsi="宋体" w:hint="eastAsia"/>
          <w:sz w:val="24"/>
        </w:rPr>
        <w:t>方指定地点；</w:t>
      </w:r>
    </w:p>
    <w:p w:rsidR="00E2639D" w:rsidRDefault="00E2639D" w:rsidP="00E2639D">
      <w:pPr>
        <w:spacing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8.3交货方式：罐车交货</w:t>
      </w:r>
      <w:bookmarkStart w:id="9" w:name="_Toc332453037"/>
      <w:bookmarkStart w:id="10" w:name="_Toc331155478"/>
      <w:bookmarkStart w:id="11" w:name="_Toc323306736"/>
      <w:bookmarkStart w:id="12" w:name="_Toc345433216"/>
      <w:bookmarkStart w:id="13" w:name="_Toc351968315"/>
      <w:bookmarkStart w:id="14" w:name="_Toc362208165"/>
      <w:r w:rsidRPr="00F25ED7">
        <w:rPr>
          <w:rFonts w:ascii="宋体"/>
          <w:sz w:val="24"/>
        </w:rPr>
        <w:t>,</w:t>
      </w:r>
      <w:r w:rsidRPr="00F25ED7">
        <w:rPr>
          <w:rFonts w:ascii="宋体" w:hAnsi="宋体" w:hint="eastAsia"/>
          <w:sz w:val="24"/>
        </w:rPr>
        <w:t>并</w:t>
      </w:r>
      <w:r>
        <w:rPr>
          <w:rFonts w:ascii="宋体" w:hAnsi="宋体" w:hint="eastAsia"/>
          <w:sz w:val="24"/>
        </w:rPr>
        <w:t>配合将</w:t>
      </w:r>
      <w:r w:rsidR="00DE70E8">
        <w:rPr>
          <w:rFonts w:ascii="宋体" w:hAnsi="宋体" w:hint="eastAsia"/>
          <w:color w:val="000000" w:themeColor="text1"/>
          <w:sz w:val="24"/>
        </w:rPr>
        <w:t>液氮</w:t>
      </w:r>
      <w:r w:rsidRPr="00F25ED7">
        <w:rPr>
          <w:rFonts w:ascii="宋体" w:hAnsi="宋体" w:hint="eastAsia"/>
          <w:sz w:val="24"/>
        </w:rPr>
        <w:t>卸至</w:t>
      </w:r>
      <w:r>
        <w:rPr>
          <w:rFonts w:ascii="宋体" w:hAnsi="宋体" w:hint="eastAsia"/>
          <w:sz w:val="24"/>
        </w:rPr>
        <w:t>买方</w:t>
      </w:r>
      <w:r w:rsidRPr="00F25ED7">
        <w:rPr>
          <w:rFonts w:ascii="宋体" w:hAnsi="宋体" w:hint="eastAsia"/>
          <w:sz w:val="24"/>
        </w:rPr>
        <w:t>指定储罐</w:t>
      </w:r>
      <w:r w:rsidR="00DE70E8">
        <w:rPr>
          <w:rFonts w:ascii="宋体" w:hAnsi="宋体" w:hint="eastAsia"/>
          <w:sz w:val="24"/>
        </w:rPr>
        <w:t>或管道</w:t>
      </w:r>
      <w:r w:rsidRPr="00F25ED7">
        <w:rPr>
          <w:rFonts w:ascii="宋体" w:hAnsi="宋体" w:hint="eastAsia"/>
          <w:sz w:val="24"/>
        </w:rPr>
        <w:t>中</w:t>
      </w:r>
      <w:bookmarkEnd w:id="9"/>
      <w:bookmarkEnd w:id="10"/>
      <w:bookmarkEnd w:id="11"/>
      <w:bookmarkEnd w:id="12"/>
      <w:bookmarkEnd w:id="13"/>
      <w:bookmarkEnd w:id="14"/>
      <w:r w:rsidR="00890AEC">
        <w:rPr>
          <w:rFonts w:ascii="宋体" w:hAnsi="宋体" w:hint="eastAsia"/>
          <w:sz w:val="24"/>
        </w:rPr>
        <w:t>。</w:t>
      </w:r>
    </w:p>
    <w:p w:rsidR="00E2639D" w:rsidRPr="00E2639D" w:rsidRDefault="00E2639D" w:rsidP="00FC4AC8">
      <w:pPr>
        <w:spacing w:line="50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5470EC" w:rsidRPr="005470EC" w:rsidRDefault="005470EC" w:rsidP="003241C4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5470EC" w:rsidRPr="005470EC" w:rsidSect="00DE70E8">
      <w:footerReference w:type="default" r:id="rId9"/>
      <w:type w:val="continuous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B71" w:rsidRDefault="00B92B71" w:rsidP="003241C4">
      <w:r>
        <w:separator/>
      </w:r>
    </w:p>
  </w:endnote>
  <w:endnote w:type="continuationSeparator" w:id="0">
    <w:p w:rsidR="00B92B71" w:rsidRDefault="00B92B71" w:rsidP="003241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0E8" w:rsidRDefault="00DE70E8">
    <w:pPr>
      <w:pStyle w:val="a4"/>
      <w:jc w:val="center"/>
    </w:pPr>
  </w:p>
  <w:p w:rsidR="00DE70E8" w:rsidRDefault="00DE70E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7272690"/>
      <w:docPartObj>
        <w:docPartGallery w:val="Page Numbers (Bottom of Page)"/>
        <w:docPartUnique/>
      </w:docPartObj>
    </w:sdtPr>
    <w:sdtContent>
      <w:p w:rsidR="00DE70E8" w:rsidRDefault="00342286">
        <w:pPr>
          <w:pStyle w:val="a4"/>
          <w:jc w:val="center"/>
        </w:pPr>
        <w:fldSimple w:instr=" PAGE   \* MERGEFORMAT ">
          <w:r w:rsidR="00EC28C8" w:rsidRPr="00EC28C8">
            <w:rPr>
              <w:noProof/>
              <w:lang w:val="zh-CN"/>
            </w:rPr>
            <w:t>2</w:t>
          </w:r>
        </w:fldSimple>
      </w:p>
    </w:sdtContent>
  </w:sdt>
  <w:p w:rsidR="00DE70E8" w:rsidRDefault="00DE70E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B71" w:rsidRDefault="00B92B71" w:rsidP="003241C4">
      <w:r>
        <w:separator/>
      </w:r>
    </w:p>
  </w:footnote>
  <w:footnote w:type="continuationSeparator" w:id="0">
    <w:p w:rsidR="00B92B71" w:rsidRDefault="00B92B71" w:rsidP="003241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34CD1"/>
    <w:multiLevelType w:val="hybridMultilevel"/>
    <w:tmpl w:val="868AD312"/>
    <w:lvl w:ilvl="0" w:tplc="751AE22E">
      <w:start w:val="1"/>
      <w:numFmt w:val="decimal"/>
      <w:lvlText w:val="%1)"/>
      <w:lvlJc w:val="left"/>
      <w:pPr>
        <w:ind w:left="420" w:hanging="420"/>
      </w:pPr>
      <w:rPr>
        <w:rFonts w:asciiTheme="minorEastAsia"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41C4"/>
    <w:rsid w:val="000252DD"/>
    <w:rsid w:val="0003313F"/>
    <w:rsid w:val="00060DCD"/>
    <w:rsid w:val="000827EE"/>
    <w:rsid w:val="00083153"/>
    <w:rsid w:val="000959E1"/>
    <w:rsid w:val="000B169B"/>
    <w:rsid w:val="000B2DCF"/>
    <w:rsid w:val="00137E1B"/>
    <w:rsid w:val="001A7C9F"/>
    <w:rsid w:val="001F7FEE"/>
    <w:rsid w:val="002549D7"/>
    <w:rsid w:val="002C15E9"/>
    <w:rsid w:val="002E4824"/>
    <w:rsid w:val="003241C4"/>
    <w:rsid w:val="00324379"/>
    <w:rsid w:val="003274CF"/>
    <w:rsid w:val="00342286"/>
    <w:rsid w:val="00387752"/>
    <w:rsid w:val="003B6908"/>
    <w:rsid w:val="004042C6"/>
    <w:rsid w:val="00456DC2"/>
    <w:rsid w:val="00466434"/>
    <w:rsid w:val="004C0313"/>
    <w:rsid w:val="004E26E4"/>
    <w:rsid w:val="004E5D33"/>
    <w:rsid w:val="004F2D17"/>
    <w:rsid w:val="005136D2"/>
    <w:rsid w:val="00514B59"/>
    <w:rsid w:val="005470EC"/>
    <w:rsid w:val="00586DC6"/>
    <w:rsid w:val="005910D2"/>
    <w:rsid w:val="005D2513"/>
    <w:rsid w:val="005E25C7"/>
    <w:rsid w:val="005E4209"/>
    <w:rsid w:val="006D7161"/>
    <w:rsid w:val="006D7B02"/>
    <w:rsid w:val="006E1D6F"/>
    <w:rsid w:val="00745415"/>
    <w:rsid w:val="007643B4"/>
    <w:rsid w:val="007767A6"/>
    <w:rsid w:val="0079406D"/>
    <w:rsid w:val="00890AEC"/>
    <w:rsid w:val="00907555"/>
    <w:rsid w:val="00947F98"/>
    <w:rsid w:val="009E6113"/>
    <w:rsid w:val="00A95C9D"/>
    <w:rsid w:val="00AF1357"/>
    <w:rsid w:val="00B0096E"/>
    <w:rsid w:val="00B13735"/>
    <w:rsid w:val="00B554E0"/>
    <w:rsid w:val="00B754C4"/>
    <w:rsid w:val="00B92B71"/>
    <w:rsid w:val="00BB6D4C"/>
    <w:rsid w:val="00BD3EE0"/>
    <w:rsid w:val="00C202F6"/>
    <w:rsid w:val="00C375A0"/>
    <w:rsid w:val="00C56F4A"/>
    <w:rsid w:val="00CC71DC"/>
    <w:rsid w:val="00CD0462"/>
    <w:rsid w:val="00CD2416"/>
    <w:rsid w:val="00CF59DF"/>
    <w:rsid w:val="00D562B9"/>
    <w:rsid w:val="00DB28FF"/>
    <w:rsid w:val="00DB69CB"/>
    <w:rsid w:val="00DC6ADD"/>
    <w:rsid w:val="00DE70E8"/>
    <w:rsid w:val="00DF0A6B"/>
    <w:rsid w:val="00E03D61"/>
    <w:rsid w:val="00E05AE3"/>
    <w:rsid w:val="00E17737"/>
    <w:rsid w:val="00E2639D"/>
    <w:rsid w:val="00EC28C8"/>
    <w:rsid w:val="00ED49B5"/>
    <w:rsid w:val="00EF2B79"/>
    <w:rsid w:val="00F12193"/>
    <w:rsid w:val="00FA0763"/>
    <w:rsid w:val="00FB382E"/>
    <w:rsid w:val="00FB7907"/>
    <w:rsid w:val="00FC032C"/>
    <w:rsid w:val="00FC4AC8"/>
    <w:rsid w:val="00FD7162"/>
    <w:rsid w:val="00FE232A"/>
    <w:rsid w:val="00FF1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AE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E5D33"/>
    <w:pPr>
      <w:keepNext/>
      <w:keepLines/>
      <w:spacing w:line="360" w:lineRule="auto"/>
      <w:outlineLvl w:val="0"/>
    </w:pPr>
    <w:rPr>
      <w:b/>
      <w:bCs/>
      <w:kern w:val="44"/>
      <w:sz w:val="2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41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41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41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41C4"/>
    <w:rPr>
      <w:sz w:val="18"/>
      <w:szCs w:val="18"/>
    </w:rPr>
  </w:style>
  <w:style w:type="paragraph" w:customStyle="1" w:styleId="WB">
    <w:name w:val="WB正文"/>
    <w:rsid w:val="003241C4"/>
    <w:pPr>
      <w:spacing w:line="460" w:lineRule="exact"/>
      <w:ind w:firstLineChars="200" w:firstLine="200"/>
      <w:jc w:val="both"/>
    </w:pPr>
    <w:rPr>
      <w:rFonts w:ascii="Times New Roman" w:eastAsia="宋体" w:hAnsi="Times New Roman" w:cs="Times New Roman"/>
      <w:kern w:val="0"/>
      <w:sz w:val="24"/>
      <w:szCs w:val="24"/>
    </w:rPr>
  </w:style>
  <w:style w:type="paragraph" w:styleId="a5">
    <w:name w:val="Date"/>
    <w:basedOn w:val="a"/>
    <w:next w:val="a"/>
    <w:link w:val="Char1"/>
    <w:uiPriority w:val="99"/>
    <w:semiHidden/>
    <w:unhideWhenUsed/>
    <w:rsid w:val="003241C4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3241C4"/>
  </w:style>
  <w:style w:type="paragraph" w:styleId="a6">
    <w:name w:val="Body Text"/>
    <w:basedOn w:val="a"/>
    <w:link w:val="Char2"/>
    <w:rsid w:val="00466434"/>
    <w:pPr>
      <w:spacing w:after="120"/>
    </w:pPr>
    <w:rPr>
      <w:rFonts w:ascii="Calibri" w:eastAsia="宋体" w:hAnsi="Calibri" w:cs="Times New Roman"/>
      <w:szCs w:val="20"/>
    </w:rPr>
  </w:style>
  <w:style w:type="character" w:customStyle="1" w:styleId="Char2">
    <w:name w:val="正文文本 Char"/>
    <w:basedOn w:val="a0"/>
    <w:link w:val="a6"/>
    <w:rsid w:val="00466434"/>
    <w:rPr>
      <w:rFonts w:ascii="Calibri" w:eastAsia="宋体" w:hAnsi="Calibri" w:cs="Times New Roman"/>
      <w:szCs w:val="20"/>
    </w:rPr>
  </w:style>
  <w:style w:type="character" w:customStyle="1" w:styleId="1Char">
    <w:name w:val="标题 1 Char"/>
    <w:basedOn w:val="a0"/>
    <w:link w:val="1"/>
    <w:uiPriority w:val="9"/>
    <w:rsid w:val="004E5D33"/>
    <w:rPr>
      <w:b/>
      <w:bCs/>
      <w:kern w:val="44"/>
      <w:sz w:val="24"/>
      <w:szCs w:val="44"/>
    </w:rPr>
  </w:style>
  <w:style w:type="paragraph" w:styleId="a7">
    <w:name w:val="List Paragraph"/>
    <w:basedOn w:val="a"/>
    <w:qFormat/>
    <w:rsid w:val="006D7161"/>
    <w:pPr>
      <w:ind w:firstLineChars="200" w:firstLine="420"/>
    </w:pPr>
    <w:rPr>
      <w:rFonts w:ascii="Calibri" w:eastAsia="宋体" w:hAnsi="Calibri" w:cs="Times New Roman"/>
    </w:rPr>
  </w:style>
  <w:style w:type="table" w:styleId="a8">
    <w:name w:val="Table Grid"/>
    <w:basedOn w:val="a1"/>
    <w:uiPriority w:val="59"/>
    <w:rsid w:val="00C375A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4E26E4"/>
    <w:pPr>
      <w:widowControl w:val="0"/>
      <w:jc w:val="both"/>
    </w:pPr>
  </w:style>
  <w:style w:type="paragraph" w:styleId="10">
    <w:name w:val="toc 1"/>
    <w:basedOn w:val="a"/>
    <w:next w:val="a"/>
    <w:autoRedefine/>
    <w:uiPriority w:val="39"/>
    <w:unhideWhenUsed/>
    <w:rsid w:val="00DE70E8"/>
  </w:style>
  <w:style w:type="character" w:styleId="aa">
    <w:name w:val="Hyperlink"/>
    <w:basedOn w:val="a0"/>
    <w:uiPriority w:val="99"/>
    <w:unhideWhenUsed/>
    <w:rsid w:val="00DE70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B9E25-A004-4EB6-A71A-965AC5A3D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283</Words>
  <Characters>1616</Characters>
  <Application>Microsoft Office Word</Application>
  <DocSecurity>0</DocSecurity>
  <Lines>13</Lines>
  <Paragraphs>3</Paragraphs>
  <ScaleCrop>false</ScaleCrop>
  <Company>微软中国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</cp:revision>
  <cp:lastPrinted>2018-07-27T09:04:00Z</cp:lastPrinted>
  <dcterms:created xsi:type="dcterms:W3CDTF">2018-07-31T03:09:00Z</dcterms:created>
  <dcterms:modified xsi:type="dcterms:W3CDTF">2018-08-01T03:50:00Z</dcterms:modified>
</cp:coreProperties>
</file>